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B" w:rsidRPr="007F69FB" w:rsidRDefault="007F69FB" w:rsidP="007F69FB">
      <w:pPr>
        <w:keepNext/>
        <w:spacing w:after="60" w:line="240" w:lineRule="auto"/>
        <w:outlineLvl w:val="4"/>
        <w:rPr>
          <w:rFonts w:ascii="Tahoma" w:eastAsia="Times New Roman" w:hAnsi="Tahoma" w:cs="Tahoma"/>
          <w:b/>
          <w:smallCaps/>
          <w:color w:val="000000" w:themeColor="text1"/>
          <w:sz w:val="24"/>
          <w:szCs w:val="24"/>
        </w:rPr>
      </w:pPr>
      <w:r w:rsidRPr="007F69FB">
        <w:rPr>
          <w:rFonts w:ascii="Tahoma" w:eastAsia="Times New Roman" w:hAnsi="Tahoma" w:cs="Tahoma"/>
          <w:b/>
          <w:smallCaps/>
          <w:color w:val="000000" w:themeColor="text1"/>
          <w:sz w:val="24"/>
          <w:szCs w:val="24"/>
        </w:rPr>
        <w:t>(Date)</w:t>
      </w:r>
    </w:p>
    <w:p w:rsidR="007F69FB" w:rsidRPr="007F69FB" w:rsidRDefault="007F69FB" w:rsidP="007F69FB">
      <w:pPr>
        <w:keepNext/>
        <w:numPr>
          <w:ilvl w:val="0"/>
          <w:numId w:val="6"/>
        </w:numPr>
        <w:spacing w:after="60" w:line="240" w:lineRule="auto"/>
        <w:jc w:val="both"/>
        <w:outlineLvl w:val="4"/>
        <w:rPr>
          <w:rFonts w:ascii="Tahoma" w:eastAsia="Times New Roman" w:hAnsi="Tahoma" w:cs="Tahoma"/>
          <w:b/>
          <w:smallCaps/>
          <w:color w:val="000000" w:themeColor="text1"/>
          <w:sz w:val="44"/>
          <w:szCs w:val="44"/>
        </w:rPr>
      </w:pPr>
      <w:r w:rsidRPr="007F69FB">
        <w:rPr>
          <w:rFonts w:ascii="Tahoma" w:eastAsia="Times New Roman" w:hAnsi="Tahoma" w:cs="Tahoma"/>
          <w:b/>
          <w:smallCaps/>
          <w:color w:val="000000" w:themeColor="text1"/>
          <w:sz w:val="44"/>
          <w:szCs w:val="44"/>
        </w:rPr>
        <w:t>County Child Health Notes</w:t>
      </w:r>
    </w:p>
    <w:p w:rsidR="007F69FB" w:rsidRPr="007F69FB" w:rsidRDefault="007F69FB" w:rsidP="007F69FB">
      <w:pPr>
        <w:keepNext/>
        <w:spacing w:after="60" w:line="240" w:lineRule="auto"/>
        <w:jc w:val="center"/>
        <w:outlineLvl w:val="4"/>
        <w:rPr>
          <w:rFonts w:ascii="Tahoma" w:eastAsia="Times New Roman" w:hAnsi="Tahoma" w:cs="Tahoma"/>
          <w:b/>
          <w:smallCaps/>
          <w:color w:val="000000" w:themeColor="text1"/>
          <w:sz w:val="16"/>
          <w:szCs w:val="16"/>
        </w:rPr>
      </w:pPr>
    </w:p>
    <w:p w:rsidR="007F69FB" w:rsidRPr="007F69FB" w:rsidRDefault="007F69FB" w:rsidP="007F69FB">
      <w:pPr>
        <w:tabs>
          <w:tab w:val="left" w:pos="900"/>
        </w:tabs>
        <w:spacing w:after="0" w:line="240" w:lineRule="auto"/>
        <w:ind w:right="-1800"/>
        <w:rPr>
          <w:rFonts w:ascii="Arial" w:eastAsia="Times" w:hAnsi="Arial" w:cs="Arial"/>
          <w:b/>
          <w:i/>
          <w:iCs/>
          <w:color w:val="000000" w:themeColor="text1"/>
          <w:sz w:val="18"/>
          <w:szCs w:val="18"/>
        </w:rPr>
      </w:pPr>
      <w:r w:rsidRPr="007F69FB">
        <w:rPr>
          <w:rFonts w:ascii="Tahoma" w:eastAsia="Times" w:hAnsi="Tahoma" w:cs="Tahoma"/>
          <w:b/>
          <w:i/>
          <w:iCs/>
          <w:color w:val="000000" w:themeColor="text1"/>
          <w:sz w:val="18"/>
          <w:szCs w:val="18"/>
        </w:rPr>
        <w:t xml:space="preserve">  Promoting early identification and partnerships between families, primary health care providers &amp; the community</w:t>
      </w:r>
      <w:r w:rsidRPr="007F69FB">
        <w:rPr>
          <w:rFonts w:ascii="Arial" w:eastAsia="Times" w:hAnsi="Arial" w:cs="Arial"/>
          <w:b/>
          <w:i/>
          <w:iCs/>
          <w:color w:val="000000" w:themeColor="text1"/>
          <w:sz w:val="18"/>
          <w:szCs w:val="18"/>
        </w:rPr>
        <w:t>.</w:t>
      </w:r>
    </w:p>
    <w:p w:rsidR="007F69FB" w:rsidRPr="007F69FB" w:rsidRDefault="00097EEC" w:rsidP="007F69FB">
      <w:pPr>
        <w:tabs>
          <w:tab w:val="left" w:pos="675"/>
          <w:tab w:val="left" w:pos="10620"/>
        </w:tabs>
        <w:spacing w:after="0" w:line="240" w:lineRule="auto"/>
        <w:ind w:right="-1620"/>
        <w:rPr>
          <w:rFonts w:ascii="Arial" w:eastAsia="Times" w:hAnsi="Arial" w:cs="Arial"/>
          <w:i/>
          <w:iCs/>
          <w:color w:val="000000" w:themeColor="text1"/>
          <w:sz w:val="18"/>
          <w:szCs w:val="20"/>
        </w:rPr>
      </w:pPr>
      <w:r>
        <w:rPr>
          <w:rFonts w:ascii="Arial" w:eastAsia="Times" w:hAnsi="Arial" w:cs="Arial"/>
          <w:i/>
          <w:iCs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45084</wp:posOffset>
                </wp:positionV>
                <wp:extent cx="6583680" cy="0"/>
                <wp:effectExtent l="0" t="19050" r="762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044FA" id="Line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05pt,3.55pt" to="522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" strokecolor="windowText" strokeweight="3pt">
                <v:stroke linestyle="thinThin"/>
              </v:line>
            </w:pict>
          </mc:Fallback>
        </mc:AlternateContent>
      </w:r>
      <w:r w:rsidR="007F69FB" w:rsidRPr="007F69FB">
        <w:rPr>
          <w:rFonts w:ascii="Arial" w:eastAsia="Times" w:hAnsi="Arial" w:cs="Arial"/>
          <w:i/>
          <w:iCs/>
          <w:color w:val="000000" w:themeColor="text1"/>
          <w:sz w:val="18"/>
          <w:szCs w:val="20"/>
        </w:rPr>
        <w:tab/>
      </w:r>
      <w:r w:rsidR="007F69FB" w:rsidRPr="007F69FB">
        <w:rPr>
          <w:rFonts w:ascii="Arial" w:eastAsia="Times" w:hAnsi="Arial" w:cs="Arial"/>
          <w:i/>
          <w:iCs/>
          <w:color w:val="000000" w:themeColor="text1"/>
          <w:sz w:val="18"/>
          <w:szCs w:val="20"/>
        </w:rPr>
        <w:tab/>
      </w:r>
    </w:p>
    <w:p w:rsidR="007F69FB" w:rsidRPr="007F69FB" w:rsidRDefault="00F511CE" w:rsidP="003F25A5">
      <w:pPr>
        <w:spacing w:after="0" w:line="240" w:lineRule="auto"/>
        <w:ind w:left="90" w:right="-180"/>
        <w:rPr>
          <w:rFonts w:ascii="Tahoma" w:eastAsia="Times" w:hAnsi="Tahoma" w:cs="Tahoma"/>
          <w:sz w:val="14"/>
          <w:szCs w:val="14"/>
        </w:rPr>
      </w:pPr>
      <w:r>
        <w:rPr>
          <w:rFonts w:ascii="Tahoma" w:eastAsia="Times" w:hAnsi="Tahoma" w:cs="Tahoma"/>
          <w:sz w:val="14"/>
          <w:szCs w:val="14"/>
        </w:rPr>
        <w:t>This newsletter</w:t>
      </w:r>
      <w:r w:rsidR="007F69FB" w:rsidRPr="007F69FB">
        <w:rPr>
          <w:rFonts w:ascii="Tahoma" w:eastAsia="Times" w:hAnsi="Tahoma" w:cs="Tahoma"/>
          <w:sz w:val="14"/>
          <w:szCs w:val="14"/>
        </w:rPr>
        <w:t xml:space="preserve"> provides physicians, nurse practitioners, primary health care providers, public health centers and community partners with current information regarding identification and management of special health issues for children.  </w:t>
      </w:r>
      <w:r w:rsidR="00BD2101">
        <w:rPr>
          <w:rFonts w:ascii="Tahoma" w:eastAsia="Times" w:hAnsi="Tahoma" w:cs="Tahoma"/>
          <w:sz w:val="14"/>
          <w:szCs w:val="14"/>
        </w:rPr>
        <w:t>T</w:t>
      </w:r>
      <w:r w:rsidR="007F69FB" w:rsidRPr="007F69FB">
        <w:rPr>
          <w:rFonts w:ascii="Tahoma" w:eastAsia="Times" w:hAnsi="Tahoma" w:cs="Tahoma"/>
          <w:sz w:val="14"/>
          <w:szCs w:val="14"/>
        </w:rPr>
        <w:t>his issue</w:t>
      </w:r>
      <w:r w:rsidR="00BD2101">
        <w:rPr>
          <w:rFonts w:ascii="Tahoma" w:eastAsia="Times" w:hAnsi="Tahoma" w:cs="Tahoma"/>
          <w:sz w:val="14"/>
          <w:szCs w:val="14"/>
        </w:rPr>
        <w:t xml:space="preserve"> written by Gwen Glew, MD, MPH, reviewed by </w:t>
      </w:r>
      <w:r w:rsidR="00366662">
        <w:rPr>
          <w:rFonts w:ascii="Tahoma" w:eastAsia="Times" w:hAnsi="Tahoma" w:cs="Tahoma"/>
          <w:sz w:val="14"/>
          <w:szCs w:val="14"/>
        </w:rPr>
        <w:t>Kathy TeK</w:t>
      </w:r>
      <w:r w:rsidR="007F69FB" w:rsidRPr="007F69FB">
        <w:rPr>
          <w:rFonts w:ascii="Tahoma" w:eastAsia="Times" w:hAnsi="Tahoma" w:cs="Tahoma"/>
          <w:sz w:val="14"/>
          <w:szCs w:val="14"/>
        </w:rPr>
        <w:t xml:space="preserve">olste, MD, </w:t>
      </w:r>
      <w:r w:rsidR="00BD2101">
        <w:rPr>
          <w:rFonts w:ascii="Tahoma" w:eastAsia="Times" w:hAnsi="Tahoma" w:cs="Tahoma"/>
          <w:sz w:val="14"/>
          <w:szCs w:val="14"/>
        </w:rPr>
        <w:t>devel</w:t>
      </w:r>
      <w:r w:rsidR="00366662">
        <w:rPr>
          <w:rFonts w:ascii="Tahoma" w:eastAsia="Times" w:hAnsi="Tahoma" w:cs="Tahoma"/>
          <w:sz w:val="14"/>
          <w:szCs w:val="14"/>
        </w:rPr>
        <w:t>opmental pediatricians, Kate Or</w:t>
      </w:r>
      <w:r w:rsidR="00BD2101">
        <w:rPr>
          <w:rFonts w:ascii="Tahoma" w:eastAsia="Times" w:hAnsi="Tahoma" w:cs="Tahoma"/>
          <w:sz w:val="14"/>
          <w:szCs w:val="14"/>
        </w:rPr>
        <w:t xml:space="preserve">ville, MPH, </w:t>
      </w:r>
      <w:r w:rsidR="007F69FB" w:rsidRPr="007F69FB">
        <w:rPr>
          <w:rFonts w:ascii="Tahoma" w:eastAsia="Times" w:hAnsi="Tahoma" w:cs="Tahoma"/>
          <w:sz w:val="14"/>
          <w:szCs w:val="14"/>
        </w:rPr>
        <w:t xml:space="preserve">UW Center on Human Development and Disability, and Louise Gane, M.S., </w:t>
      </w:r>
      <w:r w:rsidR="00BD2101">
        <w:rPr>
          <w:rFonts w:ascii="Tahoma" w:eastAsia="Times" w:hAnsi="Tahoma" w:cs="Tahoma"/>
          <w:sz w:val="14"/>
          <w:szCs w:val="14"/>
        </w:rPr>
        <w:t xml:space="preserve">genetics counselor </w:t>
      </w:r>
      <w:r w:rsidR="007F69FB" w:rsidRPr="007F69FB">
        <w:rPr>
          <w:rFonts w:ascii="Tahoma" w:eastAsia="Times" w:hAnsi="Tahoma" w:cs="Tahoma"/>
          <w:sz w:val="14"/>
          <w:szCs w:val="14"/>
        </w:rPr>
        <w:t>of the M.I.N.D. Institute, University of California Davis.</w:t>
      </w:r>
      <w:r w:rsidR="007F69FB" w:rsidRPr="007F69FB">
        <w:rPr>
          <w:rFonts w:ascii="Tahoma" w:eastAsia="Times" w:hAnsi="Tahoma" w:cs="Tahoma"/>
          <w:noProof/>
          <w:sz w:val="14"/>
          <w:szCs w:val="14"/>
        </w:rPr>
        <w:drawing>
          <wp:inline distT="0" distB="0" distL="0" distR="0" wp14:anchorId="6CC76D5B" wp14:editId="39BB3D16">
            <wp:extent cx="9525" cy="9525"/>
            <wp:effectExtent l="0" t="0" r="0" b="0"/>
            <wp:docPr id="1" name="Picture 1" descr="care_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_not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5A5" w:rsidRPr="003F25A5">
        <w:rPr>
          <w:rFonts w:ascii="Tahoma" w:eastAsia="Times" w:hAnsi="Tahoma" w:cs="Tahoma"/>
          <w:sz w:val="14"/>
          <w:szCs w:val="14"/>
        </w:rPr>
        <w:t xml:space="preserve"> </w:t>
      </w:r>
      <w:r w:rsidR="003F25A5" w:rsidRPr="007F69FB">
        <w:rPr>
          <w:rFonts w:ascii="Tahoma" w:eastAsia="Times" w:hAnsi="Tahoma" w:cs="Tahoma"/>
          <w:sz w:val="14"/>
          <w:szCs w:val="14"/>
        </w:rPr>
        <w:t xml:space="preserve">Distributed by </w:t>
      </w:r>
      <w:r w:rsidR="003F25A5" w:rsidRPr="00BD2101">
        <w:rPr>
          <w:rFonts w:ascii="Tahoma" w:eastAsia="Times" w:hAnsi="Tahoma" w:cs="Tahoma"/>
          <w:sz w:val="14"/>
          <w:szCs w:val="14"/>
        </w:rPr>
        <w:t>the Washington State Department of Health</w:t>
      </w:r>
      <w:r w:rsidR="003F25A5" w:rsidRPr="007F69FB">
        <w:rPr>
          <w:rFonts w:ascii="Tahoma" w:eastAsia="Times" w:hAnsi="Tahoma" w:cs="Tahoma"/>
          <w:sz w:val="14"/>
          <w:szCs w:val="14"/>
        </w:rPr>
        <w:t xml:space="preserve"> </w:t>
      </w:r>
      <w:r>
        <w:rPr>
          <w:rFonts w:ascii="Tahoma" w:eastAsia="Times" w:hAnsi="Tahoma" w:cs="Tahoma"/>
          <w:sz w:val="14"/>
          <w:szCs w:val="14"/>
        </w:rPr>
        <w:t xml:space="preserve">and </w:t>
      </w:r>
      <w:bookmarkStart w:id="0" w:name="_GoBack"/>
      <w:bookmarkEnd w:id="0"/>
      <w:r w:rsidR="003F25A5" w:rsidRPr="007F69FB">
        <w:rPr>
          <w:rFonts w:ascii="Tahoma" w:eastAsia="Times" w:hAnsi="Tahoma" w:cs="Tahoma"/>
          <w:sz w:val="14"/>
          <w:szCs w:val="14"/>
        </w:rPr>
        <w:t>(2)</w:t>
      </w:r>
      <w:r w:rsidR="003F25A5">
        <w:rPr>
          <w:rFonts w:ascii="Tahoma" w:eastAsia="Times" w:hAnsi="Tahoma" w:cs="Tahoma"/>
          <w:sz w:val="14"/>
          <w:szCs w:val="14"/>
        </w:rPr>
        <w:t>.</w:t>
      </w:r>
    </w:p>
    <w:p w:rsidR="007F69FB" w:rsidRPr="007F69FB" w:rsidRDefault="007F69FB" w:rsidP="007F69FB">
      <w:pPr>
        <w:spacing w:after="0" w:line="240" w:lineRule="auto"/>
        <w:ind w:left="90" w:right="-180"/>
        <w:rPr>
          <w:rFonts w:ascii="Tahoma" w:eastAsia="Times" w:hAnsi="Tahoma" w:cs="Tahoma"/>
          <w:sz w:val="14"/>
          <w:szCs w:val="14"/>
        </w:rPr>
      </w:pPr>
    </w:p>
    <w:tbl>
      <w:tblPr>
        <w:tblW w:w="10983" w:type="dxa"/>
        <w:tblBorders>
          <w:top w:val="single" w:sz="4" w:space="0" w:color="auto"/>
          <w:left w:val="single" w:sz="4" w:space="0" w:color="1F497D" w:themeColor="text2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525"/>
      </w:tblGrid>
      <w:tr w:rsidR="007F69FB" w:rsidRPr="007F69FB" w:rsidTr="00BD2101">
        <w:trPr>
          <w:cantSplit/>
          <w:trHeight w:val="2943"/>
        </w:trPr>
        <w:tc>
          <w:tcPr>
            <w:tcW w:w="145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7F69FB" w:rsidRPr="007F69FB" w:rsidRDefault="007F69FB" w:rsidP="007F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1711128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gile-x-chromosome photo.g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4"/>
                          <a:stretch/>
                        </pic:blipFill>
                        <pic:spPr bwMode="auto">
                          <a:xfrm>
                            <a:off x="0" y="0"/>
                            <a:ext cx="628650" cy="171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5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F69FB" w:rsidRPr="007F69FB" w:rsidRDefault="000926A2" w:rsidP="007F69FB">
            <w:pPr>
              <w:pStyle w:val="CHNtitle"/>
              <w:rPr>
                <w:rFonts w:eastAsia="Times"/>
                <w:sz w:val="10"/>
                <w:szCs w:val="10"/>
              </w:rPr>
            </w:pPr>
            <w:r>
              <w:t xml:space="preserve">Testing for </w:t>
            </w:r>
            <w:r w:rsidR="007F69FB" w:rsidRPr="007F69FB">
              <w:t xml:space="preserve">Fragile X Syndrome and Related Disorders </w:t>
            </w:r>
            <w:r w:rsidR="007F69FB">
              <w:br/>
            </w:r>
            <w:r w:rsidR="007F69FB" w:rsidRPr="007F69FB">
              <w:t>(FXTAS, FX-POI)</w:t>
            </w:r>
          </w:p>
          <w:p w:rsidR="007F69FB" w:rsidRPr="007F69FB" w:rsidRDefault="007F69FB" w:rsidP="00C75204">
            <w:pPr>
              <w:numPr>
                <w:ilvl w:val="12"/>
                <w:numId w:val="0"/>
              </w:numPr>
              <w:spacing w:after="0" w:line="240" w:lineRule="auto"/>
              <w:ind w:right="36"/>
              <w:rPr>
                <w:rFonts w:ascii="Calibri" w:eastAsia="Times" w:hAnsi="Calibri" w:cs="Calibri"/>
              </w:rPr>
            </w:pPr>
            <w:r>
              <w:t>Fragile X is the most common inherited cause of intellectual disability.  It is standard of care to test for fragile X in all child</w:t>
            </w:r>
            <w:r w:rsidR="00BD2101">
              <w:t>ren</w:t>
            </w:r>
            <w:r w:rsidR="009D0135">
              <w:t xml:space="preserve"> with</w:t>
            </w:r>
            <w:r>
              <w:t xml:space="preserve"> developmental delay or autism.  Fragile X can be the underlying cause of autism spectrum disorders.  Because fragile X syndrome and its carrier conditions are so common, many specific treatments a</w:t>
            </w:r>
            <w:r w:rsidR="009D0135">
              <w:t>re being develop</w:t>
            </w:r>
            <w:r w:rsidR="002944D2">
              <w:t>ed and</w:t>
            </w:r>
            <w:r>
              <w:t xml:space="preserve"> tested for this population.  Many drugs scientists hope will be useful for all children with intellectual disability and autism are being tried first in individuals with fragile X because the pathophysiology </w:t>
            </w:r>
            <w:r w:rsidR="003D4BA3">
              <w:t xml:space="preserve">of fragile X </w:t>
            </w:r>
            <w:r>
              <w:t>is known and the patient population is relatively large.</w:t>
            </w:r>
          </w:p>
        </w:tc>
      </w:tr>
    </w:tbl>
    <w:p w:rsidR="000926A2" w:rsidRDefault="000926A2" w:rsidP="00AA3CEB">
      <w:pPr>
        <w:pStyle w:val="body-bold-left"/>
      </w:pPr>
    </w:p>
    <w:p w:rsidR="00E82F1A" w:rsidRPr="00AA3CEB" w:rsidRDefault="00A52F43" w:rsidP="00AA3CEB">
      <w:pPr>
        <w:pStyle w:val="body-bold-left"/>
      </w:pPr>
      <w:r w:rsidRPr="00AA3CEB">
        <w:t>Remember</w:t>
      </w:r>
      <w:r w:rsidR="005345D0" w:rsidRPr="00AA3CEB">
        <w:t xml:space="preserve"> to </w:t>
      </w:r>
      <w:r w:rsidR="00C75204">
        <w:t>t</w:t>
      </w:r>
      <w:r w:rsidR="005345D0" w:rsidRPr="00AA3CEB">
        <w:t>est for f</w:t>
      </w:r>
      <w:r w:rsidRPr="00AA3CEB">
        <w:t>ragile X if</w:t>
      </w:r>
      <w:r w:rsidR="005345D0" w:rsidRPr="00AA3CEB">
        <w:t xml:space="preserve"> you encounter someone with:</w:t>
      </w:r>
    </w:p>
    <w:p w:rsidR="005345D0" w:rsidRPr="007F69FB" w:rsidRDefault="005345D0" w:rsidP="007F69FB">
      <w:pPr>
        <w:pStyle w:val="body"/>
      </w:pPr>
      <w:r w:rsidRPr="007F69FB">
        <w:t xml:space="preserve">A </w:t>
      </w:r>
      <w:r w:rsidRPr="007F69FB">
        <w:rPr>
          <w:u w:val="single"/>
        </w:rPr>
        <w:t>family history</w:t>
      </w:r>
      <w:r w:rsidRPr="007F69FB">
        <w:t xml:space="preserve"> of </w:t>
      </w:r>
      <w:r w:rsidR="003D4BA3">
        <w:t xml:space="preserve">the following: </w:t>
      </w:r>
      <w:r w:rsidRPr="007F69FB">
        <w:t>fragile X</w:t>
      </w:r>
      <w:r w:rsidR="001E1FE4" w:rsidRPr="007F69FB">
        <w:t>, c</w:t>
      </w:r>
      <w:r w:rsidR="000916C5" w:rsidRPr="007F69FB">
        <w:t>arrier of fragile X</w:t>
      </w:r>
      <w:r w:rsidR="003D4BA3">
        <w:t xml:space="preserve"> (the </w:t>
      </w:r>
      <w:r w:rsidR="00D64DA4">
        <w:t>pre</w:t>
      </w:r>
      <w:r w:rsidR="003D4BA3">
        <w:t>mutation)</w:t>
      </w:r>
      <w:r w:rsidRPr="007F69FB">
        <w:t>, FXTAS</w:t>
      </w:r>
      <w:r w:rsidR="000916C5" w:rsidRPr="007F69FB">
        <w:t xml:space="preserve"> (fragile X tremor ataxia syndrome)</w:t>
      </w:r>
      <w:r w:rsidRPr="007F69FB">
        <w:t>, intellectual disability, learning disability, autism</w:t>
      </w:r>
      <w:r w:rsidR="001E1FE4" w:rsidRPr="007F69FB">
        <w:t xml:space="preserve"> spectrum disorder</w:t>
      </w:r>
      <w:r w:rsidRPr="007F69FB">
        <w:t xml:space="preserve"> o</w:t>
      </w:r>
      <w:r w:rsidR="000926A2">
        <w:t>f unknown cause, or infertility, or</w:t>
      </w:r>
    </w:p>
    <w:p w:rsidR="00302B74" w:rsidRPr="007F69FB" w:rsidRDefault="00DE26DD" w:rsidP="007F69FB">
      <w:pPr>
        <w:pStyle w:val="body"/>
      </w:pPr>
      <w:r w:rsidRPr="00DE26DD">
        <w:t xml:space="preserve">Any </w:t>
      </w:r>
      <w:r>
        <w:rPr>
          <w:u w:val="single"/>
        </w:rPr>
        <w:t>s</w:t>
      </w:r>
      <w:r w:rsidR="005345D0" w:rsidRPr="00C75204">
        <w:rPr>
          <w:u w:val="single"/>
        </w:rPr>
        <w:t>y</w:t>
      </w:r>
      <w:r w:rsidR="005345D0" w:rsidRPr="007F69FB">
        <w:rPr>
          <w:u w:val="single"/>
        </w:rPr>
        <w:t>mptoms</w:t>
      </w:r>
      <w:r w:rsidR="005345D0" w:rsidRPr="007F69FB">
        <w:t xml:space="preserve"> suggestive of fragile X</w:t>
      </w:r>
      <w:r w:rsidR="00422CD6">
        <w:t xml:space="preserve"> or a fragile X carrier disorder (</w:t>
      </w:r>
      <w:r w:rsidR="003D4BA3">
        <w:t>listed immediately below</w:t>
      </w:r>
      <w:r w:rsidR="00422CD6">
        <w:t>)</w:t>
      </w:r>
      <w:r w:rsidR="003D4BA3">
        <w:t>.</w:t>
      </w:r>
      <w:r w:rsidR="00302B74" w:rsidRPr="007F69FB">
        <w:t xml:space="preserve"> 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E4EBF4"/>
        <w:tblLook w:val="04A0" w:firstRow="1" w:lastRow="0" w:firstColumn="1" w:lastColumn="0" w:noHBand="0" w:noVBand="1"/>
      </w:tblPr>
      <w:tblGrid>
        <w:gridCol w:w="10790"/>
      </w:tblGrid>
      <w:tr w:rsidR="00A55361" w:rsidTr="00A55361">
        <w:tc>
          <w:tcPr>
            <w:tcW w:w="11016" w:type="dxa"/>
            <w:shd w:val="clear" w:color="auto" w:fill="E4EBF4"/>
          </w:tcPr>
          <w:p w:rsidR="00A55361" w:rsidRPr="00DE26DD" w:rsidRDefault="00A55361" w:rsidP="00A55361">
            <w:pPr>
              <w:pStyle w:val="CHNblue-left"/>
              <w:rPr>
                <w:sz w:val="24"/>
                <w:szCs w:val="24"/>
              </w:rPr>
            </w:pPr>
            <w:r w:rsidRPr="00302B74">
              <w:t>Specific Indications for Fragile X Testing</w:t>
            </w:r>
            <w:r w:rsidR="00DE26DD">
              <w:t xml:space="preserve"> </w:t>
            </w:r>
            <w:r w:rsidR="00DE26DD" w:rsidRPr="00DE26DD">
              <w:rPr>
                <w:b w:val="0"/>
                <w:sz w:val="24"/>
                <w:szCs w:val="24"/>
              </w:rPr>
              <w:t xml:space="preserve">(any </w:t>
            </w:r>
            <w:r w:rsidR="00DE26DD" w:rsidRPr="00DE26DD">
              <w:rPr>
                <w:b w:val="0"/>
                <w:i/>
                <w:sz w:val="24"/>
                <w:szCs w:val="24"/>
              </w:rPr>
              <w:t>one</w:t>
            </w:r>
            <w:r w:rsidR="002958EF">
              <w:rPr>
                <w:b w:val="0"/>
                <w:sz w:val="24"/>
                <w:szCs w:val="24"/>
              </w:rPr>
              <w:t xml:space="preserve"> of these can be a reason to test)</w:t>
            </w:r>
          </w:p>
          <w:p w:rsidR="00A55361" w:rsidRPr="007F69FB" w:rsidRDefault="00A55361" w:rsidP="00A55361">
            <w:pPr>
              <w:pStyle w:val="body-bullet"/>
            </w:pPr>
            <w:r w:rsidRPr="007F69FB">
              <w:t>Intellectual disability</w:t>
            </w:r>
          </w:p>
          <w:p w:rsidR="00A55361" w:rsidRPr="007F69FB" w:rsidRDefault="00A55361" w:rsidP="00A55361">
            <w:pPr>
              <w:pStyle w:val="body-bullet"/>
            </w:pPr>
            <w:r w:rsidRPr="007F69FB">
              <w:t>Developmental delay</w:t>
            </w:r>
          </w:p>
          <w:p w:rsidR="00A55361" w:rsidRPr="007F69FB" w:rsidRDefault="00A55361" w:rsidP="00A55361">
            <w:pPr>
              <w:pStyle w:val="body-bullet"/>
            </w:pPr>
            <w:r w:rsidRPr="007F69FB">
              <w:t>Speech and language delay</w:t>
            </w:r>
            <w:r w:rsidR="00DE26DD">
              <w:t xml:space="preserve"> </w:t>
            </w:r>
          </w:p>
          <w:p w:rsidR="00A55361" w:rsidRPr="007F69FB" w:rsidRDefault="00A55361" w:rsidP="00A55361">
            <w:pPr>
              <w:pStyle w:val="body-bullet"/>
            </w:pPr>
            <w:r w:rsidRPr="007F69FB">
              <w:t xml:space="preserve">Autism spectrum disorder without </w:t>
            </w:r>
            <w:r w:rsidR="008B774F">
              <w:t xml:space="preserve">an </w:t>
            </w:r>
            <w:r w:rsidRPr="007F69FB">
              <w:t>already-identified genetic cause</w:t>
            </w:r>
            <w:r w:rsidR="00DE26DD">
              <w:t xml:space="preserve"> (about 60%  of those with fragile X have autism)</w:t>
            </w:r>
          </w:p>
          <w:p w:rsidR="00A55361" w:rsidRPr="007F69FB" w:rsidRDefault="00A55361" w:rsidP="00A55361">
            <w:pPr>
              <w:pStyle w:val="body-bullet"/>
            </w:pPr>
            <w:r w:rsidRPr="007F69FB">
              <w:t>Infertility</w:t>
            </w:r>
            <w:r w:rsidR="00DE26DD">
              <w:t xml:space="preserve"> (this can be a sign of fragile X-premature ovarian insufficiency (FX-POI)</w:t>
            </w:r>
          </w:p>
          <w:p w:rsidR="00A55361" w:rsidRPr="007F69FB" w:rsidRDefault="00A55361" w:rsidP="00A55361">
            <w:pPr>
              <w:pStyle w:val="body-bullet"/>
            </w:pPr>
            <w:r w:rsidRPr="007F69FB">
              <w:t>Irregular menses</w:t>
            </w:r>
            <w:r w:rsidR="00C75204">
              <w:t xml:space="preserve"> -</w:t>
            </w:r>
            <w:r w:rsidRPr="007F69FB">
              <w:t xml:space="preserve"> </w:t>
            </w:r>
            <w:r w:rsidR="00C75204">
              <w:t>t</w:t>
            </w:r>
            <w:r w:rsidRPr="007F69FB">
              <w:t xml:space="preserve">his can be a sign of </w:t>
            </w:r>
            <w:r>
              <w:t>fragile X-</w:t>
            </w:r>
            <w:r w:rsidRPr="007F69FB">
              <w:t>premature ovarian insufficiency (FX</w:t>
            </w:r>
            <w:r>
              <w:t>-</w:t>
            </w:r>
            <w:r w:rsidRPr="007F69FB">
              <w:t>POI) which occurs in a subset of female carriers</w:t>
            </w:r>
          </w:p>
          <w:p w:rsidR="00A55361" w:rsidRPr="007F69FB" w:rsidRDefault="00A55361" w:rsidP="00A55361">
            <w:pPr>
              <w:pStyle w:val="body-bullet"/>
            </w:pPr>
            <w:r w:rsidRPr="007F69FB">
              <w:t xml:space="preserve">Adults over 50 with intention tremor, ataxia, memory loss, cognitive decline, </w:t>
            </w:r>
            <w:r>
              <w:t xml:space="preserve">and </w:t>
            </w:r>
            <w:r w:rsidRPr="007F69FB">
              <w:t>personality change</w:t>
            </w:r>
            <w:r w:rsidR="00C75204">
              <w:t xml:space="preserve"> -</w:t>
            </w:r>
            <w:r w:rsidRPr="007F69FB">
              <w:t xml:space="preserve"> </w:t>
            </w:r>
            <w:r w:rsidR="00C75204">
              <w:t>t</w:t>
            </w:r>
            <w:r w:rsidRPr="007F69FB">
              <w:t xml:space="preserve">his can be a sign of fragile X tremor/ataxia syndrome (FXTAS) which is seen in a subset of carriers   </w:t>
            </w:r>
          </w:p>
          <w:p w:rsidR="00A55361" w:rsidRDefault="00A55361" w:rsidP="00AA3CEB">
            <w:pPr>
              <w:pStyle w:val="body-bullet"/>
            </w:pPr>
            <w:r w:rsidRPr="007F69FB">
              <w:t xml:space="preserve">Any individual who requests fragile X testing </w:t>
            </w:r>
          </w:p>
        </w:tc>
      </w:tr>
    </w:tbl>
    <w:p w:rsidR="00A55361" w:rsidRPr="00C75204" w:rsidRDefault="00A55361" w:rsidP="00AA3CEB">
      <w:pPr>
        <w:pStyle w:val="CHNblue-left"/>
        <w:rPr>
          <w:sz w:val="16"/>
          <w:szCs w:val="16"/>
        </w:rPr>
      </w:pPr>
    </w:p>
    <w:p w:rsidR="005345D0" w:rsidRPr="00AD7CC2" w:rsidRDefault="005345D0" w:rsidP="00AA3CEB">
      <w:pPr>
        <w:pStyle w:val="CHNblue-left"/>
      </w:pPr>
      <w:r w:rsidRPr="00AD7CC2">
        <w:t>Lab Tests for Fragile X</w:t>
      </w:r>
    </w:p>
    <w:p w:rsidR="005345D0" w:rsidRPr="00C75204" w:rsidRDefault="00AD7CC2" w:rsidP="00912AFC">
      <w:pPr>
        <w:pStyle w:val="bodytext"/>
        <w:spacing w:afterLines="60" w:after="144"/>
        <w:rPr>
          <w:sz w:val="22"/>
          <w:szCs w:val="22"/>
        </w:rPr>
      </w:pPr>
      <w:r w:rsidRPr="00C75204">
        <w:rPr>
          <w:sz w:val="22"/>
          <w:szCs w:val="22"/>
        </w:rPr>
        <w:t xml:space="preserve">To test for fragile X, it is ideal to </w:t>
      </w:r>
      <w:r w:rsidRPr="00C75204">
        <w:rPr>
          <w:b/>
          <w:sz w:val="22"/>
          <w:szCs w:val="22"/>
        </w:rPr>
        <w:t>order two tests</w:t>
      </w:r>
      <w:r w:rsidRPr="00C75204">
        <w:rPr>
          <w:sz w:val="22"/>
          <w:szCs w:val="22"/>
        </w:rPr>
        <w:t>.  In some labs</w:t>
      </w:r>
      <w:r w:rsidR="00422CD6" w:rsidRPr="00C75204">
        <w:rPr>
          <w:sz w:val="22"/>
          <w:szCs w:val="22"/>
        </w:rPr>
        <w:t>,</w:t>
      </w:r>
      <w:r w:rsidRPr="00C75204">
        <w:rPr>
          <w:sz w:val="22"/>
          <w:szCs w:val="22"/>
        </w:rPr>
        <w:t xml:space="preserve"> this is done automatically when </w:t>
      </w:r>
      <w:r w:rsidR="00640667" w:rsidRPr="00C75204">
        <w:rPr>
          <w:sz w:val="22"/>
          <w:szCs w:val="22"/>
        </w:rPr>
        <w:t>“</w:t>
      </w:r>
      <w:r w:rsidRPr="00C75204">
        <w:rPr>
          <w:sz w:val="22"/>
          <w:szCs w:val="22"/>
        </w:rPr>
        <w:t>fragile X testing</w:t>
      </w:r>
      <w:r w:rsidR="00640667" w:rsidRPr="00C75204">
        <w:rPr>
          <w:sz w:val="22"/>
          <w:szCs w:val="22"/>
        </w:rPr>
        <w:t>”</w:t>
      </w:r>
      <w:r w:rsidRPr="00C75204">
        <w:rPr>
          <w:sz w:val="22"/>
          <w:szCs w:val="22"/>
        </w:rPr>
        <w:t xml:space="preserve"> is requested.  Complete</w:t>
      </w:r>
      <w:r w:rsidR="005345D0" w:rsidRPr="00C75204">
        <w:rPr>
          <w:sz w:val="22"/>
          <w:szCs w:val="22"/>
        </w:rPr>
        <w:t xml:space="preserve"> FMRI DNA test</w:t>
      </w:r>
      <w:r w:rsidRPr="00C75204">
        <w:rPr>
          <w:sz w:val="22"/>
          <w:szCs w:val="22"/>
        </w:rPr>
        <w:t xml:space="preserve">ing involves obtaining </w:t>
      </w:r>
      <w:r w:rsidR="00590C45" w:rsidRPr="00C75204">
        <w:rPr>
          <w:sz w:val="22"/>
          <w:szCs w:val="22"/>
        </w:rPr>
        <w:t xml:space="preserve">two </w:t>
      </w:r>
      <w:r w:rsidR="001A563F" w:rsidRPr="00C75204">
        <w:rPr>
          <w:sz w:val="22"/>
          <w:szCs w:val="22"/>
        </w:rPr>
        <w:t xml:space="preserve">complementary </w:t>
      </w:r>
      <w:r w:rsidR="00623CDA" w:rsidRPr="00C75204">
        <w:rPr>
          <w:sz w:val="22"/>
          <w:szCs w:val="22"/>
        </w:rPr>
        <w:t>lab procedures</w:t>
      </w:r>
      <w:r w:rsidRPr="00C75204">
        <w:rPr>
          <w:sz w:val="22"/>
          <w:szCs w:val="22"/>
        </w:rPr>
        <w:t xml:space="preserve"> </w:t>
      </w:r>
      <w:r w:rsidR="00640667" w:rsidRPr="00C75204">
        <w:rPr>
          <w:sz w:val="22"/>
          <w:szCs w:val="22"/>
        </w:rPr>
        <w:t>done on the same sample of blood</w:t>
      </w:r>
      <w:r w:rsidR="001A563F" w:rsidRPr="00C75204">
        <w:rPr>
          <w:sz w:val="22"/>
          <w:szCs w:val="22"/>
        </w:rPr>
        <w:t>:</w:t>
      </w:r>
      <w:r w:rsidR="00623CDA" w:rsidRPr="00C75204">
        <w:rPr>
          <w:sz w:val="22"/>
          <w:szCs w:val="22"/>
        </w:rPr>
        <w:t xml:space="preserve"> </w:t>
      </w:r>
    </w:p>
    <w:p w:rsidR="005345D0" w:rsidRDefault="005345D0" w:rsidP="00912AFC">
      <w:pPr>
        <w:pStyle w:val="body"/>
        <w:numPr>
          <w:ilvl w:val="0"/>
          <w:numId w:val="7"/>
        </w:numPr>
        <w:spacing w:afterLines="60" w:after="144"/>
        <w:ind w:left="540"/>
      </w:pPr>
      <w:r>
        <w:t>PCR</w:t>
      </w:r>
      <w:r w:rsidR="00AD7CC2">
        <w:t xml:space="preserve"> (polymerase chain reaction)</w:t>
      </w:r>
      <w:r w:rsidR="004905D5">
        <w:t xml:space="preserve"> </w:t>
      </w:r>
      <w:r>
        <w:t>determine</w:t>
      </w:r>
      <w:r w:rsidR="00AD7CC2">
        <w:t>s</w:t>
      </w:r>
      <w:r w:rsidR="004905D5">
        <w:t xml:space="preserve"> whether the</w:t>
      </w:r>
      <w:r>
        <w:t xml:space="preserve"> number of CGG repeats </w:t>
      </w:r>
      <w:r w:rsidR="004905D5">
        <w:t xml:space="preserve">is </w:t>
      </w:r>
      <w:r w:rsidR="0001078F">
        <w:t>in the</w:t>
      </w:r>
      <w:r w:rsidR="00AD7CC2">
        <w:t xml:space="preserve"> fragile X, pre</w:t>
      </w:r>
      <w:r w:rsidR="004905D5">
        <w:t>mutation, or normal range at the</w:t>
      </w:r>
      <w:r w:rsidR="0001078F">
        <w:t xml:space="preserve"> </w:t>
      </w:r>
      <w:r w:rsidR="004905D5">
        <w:t>FMR1</w:t>
      </w:r>
      <w:r w:rsidR="0001078F">
        <w:t xml:space="preserve"> gene.  Over 200 repeats</w:t>
      </w:r>
      <w:r>
        <w:t xml:space="preserve"> is fragile X</w:t>
      </w:r>
      <w:r w:rsidR="00640667">
        <w:t xml:space="preserve"> syndrome</w:t>
      </w:r>
      <w:r w:rsidR="004905D5">
        <w:t>, 50-200</w:t>
      </w:r>
      <w:r w:rsidR="00640667">
        <w:t xml:space="preserve"> repeats</w:t>
      </w:r>
      <w:r w:rsidR="004905D5">
        <w:t xml:space="preserve"> is </w:t>
      </w:r>
      <w:r w:rsidR="00AD7CC2">
        <w:t>the pre</w:t>
      </w:r>
      <w:r w:rsidR="0068446F">
        <w:t>mutation (carrier status)</w:t>
      </w:r>
      <w:r w:rsidR="004905D5">
        <w:t>, and 0-49 is normal</w:t>
      </w:r>
      <w:r>
        <w:t>.</w:t>
      </w:r>
    </w:p>
    <w:p w:rsidR="00276BB1" w:rsidRDefault="00E679DF" w:rsidP="00912AFC">
      <w:pPr>
        <w:pStyle w:val="body"/>
        <w:spacing w:afterLines="60" w:after="144"/>
      </w:pPr>
      <w:r>
        <w:t>Southern blot</w:t>
      </w:r>
      <w:r w:rsidR="004905D5">
        <w:t xml:space="preserve"> determine</w:t>
      </w:r>
      <w:r>
        <w:t>s</w:t>
      </w:r>
      <w:r w:rsidR="005345D0">
        <w:t xml:space="preserve"> </w:t>
      </w:r>
      <w:r w:rsidR="004905D5">
        <w:t>the number of repeats in the</w:t>
      </w:r>
      <w:r w:rsidR="005345D0">
        <w:t xml:space="preserve"> full </w:t>
      </w:r>
      <w:r w:rsidR="004905D5">
        <w:t xml:space="preserve">mutation, </w:t>
      </w:r>
      <w:r w:rsidR="005345D0">
        <w:t>whether t</w:t>
      </w:r>
      <w:r w:rsidR="001F67E5">
        <w:t xml:space="preserve">he gene has been methylated, and </w:t>
      </w:r>
      <w:r w:rsidR="004905D5">
        <w:t>presence of</w:t>
      </w:r>
      <w:r w:rsidR="00A14DED">
        <w:t xml:space="preserve"> mosaicism</w:t>
      </w:r>
      <w:r w:rsidR="001F67E5">
        <w:t xml:space="preserve">.  </w:t>
      </w:r>
      <w:r w:rsidR="001154C1">
        <w:t>Fully methylated individuals are usua</w:t>
      </w:r>
      <w:r w:rsidR="00A14DED">
        <w:t>lly more severely af</w:t>
      </w:r>
      <w:r w:rsidR="004905D5">
        <w:t>fected as methylation inactivates</w:t>
      </w:r>
      <w:r w:rsidR="00A14DED">
        <w:t xml:space="preserve"> genes.  </w:t>
      </w:r>
      <w:r w:rsidR="00640667">
        <w:t xml:space="preserve">The gene must be active for the individual to be normal.  </w:t>
      </w:r>
      <w:r w:rsidR="00A14DED">
        <w:t>M</w:t>
      </w:r>
      <w:r w:rsidR="001F67E5">
        <w:t>osaics tend to be less affected.</w:t>
      </w:r>
      <w:r w:rsidR="00276BB1">
        <w:t xml:space="preserve">  </w:t>
      </w:r>
    </w:p>
    <w:p w:rsidR="00C75204" w:rsidRDefault="00C75204" w:rsidP="00276BB1">
      <w:pPr>
        <w:pStyle w:val="body"/>
        <w:numPr>
          <w:ilvl w:val="0"/>
          <w:numId w:val="0"/>
        </w:numPr>
        <w:ind w:left="180"/>
        <w:rPr>
          <w:b/>
        </w:rPr>
      </w:pPr>
    </w:p>
    <w:p w:rsidR="00B21E62" w:rsidRPr="00966A0A" w:rsidRDefault="00B21E62" w:rsidP="00276BB1">
      <w:pPr>
        <w:pStyle w:val="body"/>
        <w:numPr>
          <w:ilvl w:val="0"/>
          <w:numId w:val="0"/>
        </w:numPr>
        <w:ind w:left="180"/>
      </w:pPr>
      <w:r w:rsidRPr="00276BB1">
        <w:rPr>
          <w:b/>
        </w:rPr>
        <w:t xml:space="preserve">REMEMBER: </w:t>
      </w:r>
      <w:r w:rsidRPr="00276BB1">
        <w:rPr>
          <w:i/>
        </w:rPr>
        <w:t xml:space="preserve">Chromosomal arrays and karyotypes will </w:t>
      </w:r>
      <w:r w:rsidRPr="00276BB1">
        <w:rPr>
          <w:b/>
          <w:i/>
          <w:u w:val="single"/>
        </w:rPr>
        <w:t>NOT</w:t>
      </w:r>
      <w:r w:rsidRPr="00276BB1">
        <w:rPr>
          <w:b/>
          <w:i/>
        </w:rPr>
        <w:t xml:space="preserve"> </w:t>
      </w:r>
      <w:r w:rsidRPr="00276BB1">
        <w:rPr>
          <w:i/>
        </w:rPr>
        <w:t>detect fragile X mutations.</w:t>
      </w:r>
    </w:p>
    <w:p w:rsidR="00B21E62" w:rsidRPr="00B20D7E" w:rsidRDefault="00B21E62" w:rsidP="00BD2101">
      <w:pPr>
        <w:pStyle w:val="bodytext"/>
        <w:rPr>
          <w:sz w:val="22"/>
          <w:szCs w:val="22"/>
        </w:rPr>
      </w:pPr>
    </w:p>
    <w:p w:rsidR="001F67E5" w:rsidRPr="001F67E5" w:rsidRDefault="00A12397" w:rsidP="00AA3CEB">
      <w:pPr>
        <w:pStyle w:val="CHNblue-left"/>
      </w:pPr>
      <w:r w:rsidRPr="0068446F">
        <w:t>Logistics of Testing</w:t>
      </w:r>
    </w:p>
    <w:p w:rsidR="008F3F02" w:rsidRDefault="001F67E5" w:rsidP="00AA3CEB">
      <w:pPr>
        <w:pStyle w:val="bodytext"/>
        <w:rPr>
          <w:sz w:val="22"/>
          <w:szCs w:val="22"/>
        </w:rPr>
      </w:pPr>
      <w:r w:rsidRPr="00C75204">
        <w:rPr>
          <w:sz w:val="22"/>
          <w:szCs w:val="22"/>
        </w:rPr>
        <w:t xml:space="preserve">The </w:t>
      </w:r>
      <w:r w:rsidR="003C0F0B" w:rsidRPr="00C75204">
        <w:rPr>
          <w:sz w:val="22"/>
          <w:szCs w:val="22"/>
        </w:rPr>
        <w:t xml:space="preserve">two </w:t>
      </w:r>
      <w:r w:rsidRPr="00C75204">
        <w:rPr>
          <w:sz w:val="22"/>
          <w:szCs w:val="22"/>
        </w:rPr>
        <w:t>blood test</w:t>
      </w:r>
      <w:r w:rsidR="00EF15CC">
        <w:rPr>
          <w:sz w:val="22"/>
          <w:szCs w:val="22"/>
        </w:rPr>
        <w:t>s</w:t>
      </w:r>
      <w:r w:rsidR="003C0F0B" w:rsidRPr="00C75204">
        <w:rPr>
          <w:sz w:val="22"/>
          <w:szCs w:val="22"/>
        </w:rPr>
        <w:t xml:space="preserve"> used</w:t>
      </w:r>
      <w:r w:rsidR="008917BE" w:rsidRPr="00C75204">
        <w:rPr>
          <w:sz w:val="22"/>
          <w:szCs w:val="22"/>
        </w:rPr>
        <w:t xml:space="preserve"> </w:t>
      </w:r>
      <w:r w:rsidR="00DA522B" w:rsidRPr="00C75204">
        <w:rPr>
          <w:sz w:val="22"/>
          <w:szCs w:val="22"/>
        </w:rPr>
        <w:t xml:space="preserve">together </w:t>
      </w:r>
      <w:r w:rsidR="008917BE" w:rsidRPr="00C75204">
        <w:rPr>
          <w:sz w:val="22"/>
          <w:szCs w:val="22"/>
        </w:rPr>
        <w:t>usually range</w:t>
      </w:r>
      <w:r w:rsidRPr="00C75204">
        <w:rPr>
          <w:sz w:val="22"/>
          <w:szCs w:val="22"/>
        </w:rPr>
        <w:t xml:space="preserve"> fr</w:t>
      </w:r>
      <w:r w:rsidR="0071087D" w:rsidRPr="00C75204">
        <w:rPr>
          <w:sz w:val="22"/>
          <w:szCs w:val="22"/>
        </w:rPr>
        <w:t xml:space="preserve">om $300 to </w:t>
      </w:r>
      <w:r w:rsidR="006A50AA">
        <w:rPr>
          <w:sz w:val="22"/>
          <w:szCs w:val="22"/>
        </w:rPr>
        <w:t>$6</w:t>
      </w:r>
      <w:r w:rsidR="008E683A" w:rsidRPr="00C75204">
        <w:rPr>
          <w:sz w:val="22"/>
          <w:szCs w:val="22"/>
        </w:rPr>
        <w:t>00. R</w:t>
      </w:r>
      <w:r w:rsidRPr="00C75204">
        <w:rPr>
          <w:sz w:val="22"/>
          <w:szCs w:val="22"/>
        </w:rPr>
        <w:t xml:space="preserve">esults are </w:t>
      </w:r>
      <w:r w:rsidR="0071087D" w:rsidRPr="00C75204">
        <w:rPr>
          <w:sz w:val="22"/>
          <w:szCs w:val="22"/>
        </w:rPr>
        <w:t xml:space="preserve">often </w:t>
      </w:r>
      <w:r w:rsidR="00CE14CB" w:rsidRPr="00C75204">
        <w:rPr>
          <w:sz w:val="22"/>
          <w:szCs w:val="22"/>
        </w:rPr>
        <w:t>available in 2 to 3</w:t>
      </w:r>
      <w:r w:rsidRPr="00C75204">
        <w:rPr>
          <w:sz w:val="22"/>
          <w:szCs w:val="22"/>
        </w:rPr>
        <w:t xml:space="preserve"> weeks.</w:t>
      </w:r>
      <w:r w:rsidR="001154C1" w:rsidRPr="00C75204">
        <w:rPr>
          <w:sz w:val="22"/>
          <w:szCs w:val="22"/>
        </w:rPr>
        <w:t xml:space="preserve">  If the test</w:t>
      </w:r>
      <w:r w:rsidR="00594C25" w:rsidRPr="00C75204">
        <w:rPr>
          <w:sz w:val="22"/>
          <w:szCs w:val="22"/>
        </w:rPr>
        <w:t>ing</w:t>
      </w:r>
      <w:r w:rsidR="001154C1" w:rsidRPr="00C75204">
        <w:rPr>
          <w:sz w:val="22"/>
          <w:szCs w:val="22"/>
        </w:rPr>
        <w:t xml:space="preserve"> comes back positive, refer to a geneticist, </w:t>
      </w:r>
      <w:r w:rsidR="00CE14CB" w:rsidRPr="00C75204">
        <w:rPr>
          <w:sz w:val="22"/>
          <w:szCs w:val="22"/>
        </w:rPr>
        <w:t xml:space="preserve">genetics counselor, or </w:t>
      </w:r>
      <w:r w:rsidR="001154C1" w:rsidRPr="00C75204">
        <w:rPr>
          <w:sz w:val="22"/>
          <w:szCs w:val="22"/>
        </w:rPr>
        <w:t>fragile</w:t>
      </w:r>
      <w:r w:rsidR="00CE14CB" w:rsidRPr="00C75204">
        <w:rPr>
          <w:sz w:val="22"/>
          <w:szCs w:val="22"/>
        </w:rPr>
        <w:t xml:space="preserve"> X clinic</w:t>
      </w:r>
      <w:r w:rsidR="001154C1" w:rsidRPr="00C75204">
        <w:rPr>
          <w:sz w:val="22"/>
          <w:szCs w:val="22"/>
        </w:rPr>
        <w:t>.</w:t>
      </w:r>
      <w:r w:rsidR="00546D62" w:rsidRPr="00C75204">
        <w:rPr>
          <w:sz w:val="22"/>
          <w:szCs w:val="22"/>
        </w:rPr>
        <w:t xml:space="preserve">  </w:t>
      </w:r>
      <w:r w:rsidR="00E679DF" w:rsidRPr="00C75204">
        <w:rPr>
          <w:sz w:val="22"/>
          <w:szCs w:val="22"/>
        </w:rPr>
        <w:t>I</w:t>
      </w:r>
      <w:r w:rsidR="00B21E62" w:rsidRPr="00C75204">
        <w:rPr>
          <w:sz w:val="22"/>
          <w:szCs w:val="22"/>
        </w:rPr>
        <w:t>t is often helpful to refer the family to the National Frag</w:t>
      </w:r>
      <w:r w:rsidR="008F3F02">
        <w:rPr>
          <w:sz w:val="22"/>
          <w:szCs w:val="22"/>
        </w:rPr>
        <w:t xml:space="preserve">ile X Foundation which provides extensive </w:t>
      </w:r>
      <w:r w:rsidR="00B21E62" w:rsidRPr="00C75204">
        <w:rPr>
          <w:sz w:val="22"/>
          <w:szCs w:val="22"/>
        </w:rPr>
        <w:t>educational resources for families and professionals.</w:t>
      </w:r>
      <w:r w:rsidR="00B20D7E">
        <w:rPr>
          <w:sz w:val="22"/>
          <w:szCs w:val="22"/>
        </w:rPr>
        <w:t xml:space="preserve"> </w:t>
      </w:r>
    </w:p>
    <w:p w:rsidR="008F3F02" w:rsidRDefault="008F3F02" w:rsidP="00AA3CEB">
      <w:pPr>
        <w:pStyle w:val="bodytext"/>
        <w:rPr>
          <w:sz w:val="22"/>
          <w:szCs w:val="22"/>
        </w:rPr>
      </w:pPr>
    </w:p>
    <w:p w:rsidR="0012026F" w:rsidRPr="005941D8" w:rsidRDefault="00B20D7E" w:rsidP="005941D8">
      <w:pPr>
        <w:spacing w:after="0" w:line="240" w:lineRule="auto"/>
        <w:rPr>
          <w:color w:val="1F497D"/>
        </w:rPr>
      </w:pPr>
      <w:r w:rsidRPr="00B20D7E">
        <w:t xml:space="preserve">Some providers prefer to refer families for genetic counseling </w:t>
      </w:r>
      <w:r w:rsidRPr="005941D8">
        <w:rPr>
          <w:i/>
        </w:rPr>
        <w:t>prior</w:t>
      </w:r>
      <w:r w:rsidRPr="00B20D7E">
        <w:t xml:space="preserve"> to testing.</w:t>
      </w:r>
      <w:r w:rsidR="008F3F02">
        <w:t xml:space="preserve"> The g</w:t>
      </w:r>
      <w:r>
        <w:t>enetic</w:t>
      </w:r>
      <w:r w:rsidR="008F3F02">
        <w:t>s c</w:t>
      </w:r>
      <w:r>
        <w:t>ounselor can coordinate</w:t>
      </w:r>
      <w:r w:rsidRPr="00B20D7E">
        <w:t xml:space="preserve"> testing and communicate the results back to the provider and family.  </w:t>
      </w:r>
      <w:r w:rsidR="008F3F02" w:rsidRPr="005941D8">
        <w:t xml:space="preserve">If there is a </w:t>
      </w:r>
      <w:r w:rsidR="005941D8" w:rsidRPr="005941D8">
        <w:t>prohibitively long</w:t>
      </w:r>
      <w:r w:rsidR="003F0346" w:rsidRPr="005941D8">
        <w:t xml:space="preserve"> wait for genetics counseling or if it is not available locally, an alternative option is to use</w:t>
      </w:r>
      <w:r w:rsidR="0012026F" w:rsidRPr="005941D8">
        <w:t xml:space="preserve"> informedDNA</w:t>
      </w:r>
      <w:r w:rsidR="008F3F02" w:rsidRPr="005941D8">
        <w:t>.com</w:t>
      </w:r>
      <w:r w:rsidR="005941D8" w:rsidRPr="005941D8">
        <w:t>, to obtain telephone genetics counseling services</w:t>
      </w:r>
      <w:r w:rsidR="005941D8" w:rsidRPr="005941D8">
        <w:rPr>
          <w:color w:val="1F497D"/>
        </w:rPr>
        <w:t xml:space="preserve">. </w:t>
      </w:r>
      <w:r w:rsidR="005941D8" w:rsidRPr="005941D8">
        <w:t>This service typically has no wait.</w:t>
      </w:r>
      <w:r w:rsidR="0012026F" w:rsidRPr="005941D8">
        <w:rPr>
          <w:color w:val="1F497D"/>
        </w:rPr>
        <w:t xml:space="preserve"> </w:t>
      </w:r>
    </w:p>
    <w:p w:rsidR="0031030A" w:rsidRPr="00B20D7E" w:rsidRDefault="0031030A" w:rsidP="00AA3CEB">
      <w:pPr>
        <w:pStyle w:val="bodytext"/>
        <w:rPr>
          <w:sz w:val="22"/>
          <w:szCs w:val="22"/>
        </w:rPr>
      </w:pPr>
    </w:p>
    <w:p w:rsidR="00AA3CEB" w:rsidRPr="00B20D7E" w:rsidRDefault="00AA3CEB" w:rsidP="00AA3CEB">
      <w:pPr>
        <w:pStyle w:val="bodytext"/>
        <w:rPr>
          <w:i/>
          <w:sz w:val="22"/>
          <w:szCs w:val="22"/>
        </w:rPr>
      </w:pPr>
    </w:p>
    <w:p w:rsidR="0031030A" w:rsidRPr="00AA3CEB" w:rsidRDefault="0031030A" w:rsidP="00AA3CEB">
      <w:pPr>
        <w:pStyle w:val="CHNblue-left"/>
      </w:pPr>
      <w:r w:rsidRPr="00AA3CEB">
        <w:t>Why Test?</w:t>
      </w:r>
    </w:p>
    <w:p w:rsidR="0086020D" w:rsidRPr="00C75204" w:rsidRDefault="0031030A" w:rsidP="00AA3CEB">
      <w:pPr>
        <w:pStyle w:val="bodytext"/>
        <w:rPr>
          <w:sz w:val="22"/>
          <w:szCs w:val="22"/>
        </w:rPr>
      </w:pPr>
      <w:r w:rsidRPr="00C75204">
        <w:rPr>
          <w:sz w:val="22"/>
          <w:szCs w:val="22"/>
        </w:rPr>
        <w:t>Many providers question the wisdom of genetic testing because, at pres</w:t>
      </w:r>
      <w:r w:rsidR="00CA7435" w:rsidRPr="00C75204">
        <w:rPr>
          <w:sz w:val="22"/>
          <w:szCs w:val="22"/>
        </w:rPr>
        <w:t xml:space="preserve">ent, there is no way to </w:t>
      </w:r>
      <w:r w:rsidR="008E683A" w:rsidRPr="00C75204">
        <w:rPr>
          <w:sz w:val="22"/>
          <w:szCs w:val="22"/>
        </w:rPr>
        <w:t>“</w:t>
      </w:r>
      <w:r w:rsidR="000437B5" w:rsidRPr="00C75204">
        <w:rPr>
          <w:sz w:val="22"/>
          <w:szCs w:val="22"/>
        </w:rPr>
        <w:t>fix</w:t>
      </w:r>
      <w:r w:rsidR="008E683A" w:rsidRPr="00C75204">
        <w:rPr>
          <w:sz w:val="22"/>
          <w:szCs w:val="22"/>
        </w:rPr>
        <w:t>”</w:t>
      </w:r>
      <w:r w:rsidR="00CA7435" w:rsidRPr="00C75204">
        <w:rPr>
          <w:sz w:val="22"/>
          <w:szCs w:val="22"/>
        </w:rPr>
        <w:t xml:space="preserve"> the</w:t>
      </w:r>
      <w:r w:rsidR="00666D76" w:rsidRPr="00C75204">
        <w:rPr>
          <w:sz w:val="22"/>
          <w:szCs w:val="22"/>
        </w:rPr>
        <w:t xml:space="preserve"> </w:t>
      </w:r>
      <w:r w:rsidRPr="00C75204">
        <w:rPr>
          <w:sz w:val="22"/>
          <w:szCs w:val="22"/>
        </w:rPr>
        <w:t>gene</w:t>
      </w:r>
      <w:r w:rsidR="00666D76" w:rsidRPr="00C75204">
        <w:rPr>
          <w:sz w:val="22"/>
          <w:szCs w:val="22"/>
        </w:rPr>
        <w:t xml:space="preserve"> mutation responsible</w:t>
      </w:r>
      <w:r w:rsidR="00CA7435" w:rsidRPr="00C75204">
        <w:rPr>
          <w:sz w:val="22"/>
          <w:szCs w:val="22"/>
        </w:rPr>
        <w:t xml:space="preserve"> for fragile X</w:t>
      </w:r>
      <w:r w:rsidRPr="00C75204">
        <w:rPr>
          <w:sz w:val="22"/>
          <w:szCs w:val="22"/>
        </w:rPr>
        <w:t>.  However, there are many specific treatments, the</w:t>
      </w:r>
      <w:r w:rsidR="008E683A" w:rsidRPr="00C75204">
        <w:rPr>
          <w:sz w:val="22"/>
          <w:szCs w:val="22"/>
        </w:rPr>
        <w:t xml:space="preserve">rapies, </w:t>
      </w:r>
      <w:r w:rsidR="00E90B11" w:rsidRPr="00C75204">
        <w:rPr>
          <w:sz w:val="22"/>
          <w:szCs w:val="22"/>
        </w:rPr>
        <w:t xml:space="preserve">strategies, </w:t>
      </w:r>
      <w:r w:rsidR="008E683A" w:rsidRPr="00C75204">
        <w:rPr>
          <w:sz w:val="22"/>
          <w:szCs w:val="22"/>
        </w:rPr>
        <w:t xml:space="preserve">and educational </w:t>
      </w:r>
      <w:r w:rsidR="00E90B11" w:rsidRPr="00C75204">
        <w:rPr>
          <w:sz w:val="22"/>
          <w:szCs w:val="22"/>
        </w:rPr>
        <w:t>resources</w:t>
      </w:r>
      <w:r w:rsidRPr="00C75204">
        <w:rPr>
          <w:sz w:val="22"/>
          <w:szCs w:val="22"/>
        </w:rPr>
        <w:t xml:space="preserve"> available for people with fragile X and related disorders that can improve lives</w:t>
      </w:r>
      <w:r w:rsidR="00E90B11" w:rsidRPr="00C75204">
        <w:rPr>
          <w:sz w:val="22"/>
          <w:szCs w:val="22"/>
        </w:rPr>
        <w:t xml:space="preserve"> and the lives of family members</w:t>
      </w:r>
      <w:r w:rsidRPr="00C75204">
        <w:rPr>
          <w:sz w:val="22"/>
          <w:szCs w:val="22"/>
        </w:rPr>
        <w:t>.</w:t>
      </w:r>
      <w:r w:rsidR="008E683A" w:rsidRPr="00C75204">
        <w:rPr>
          <w:sz w:val="22"/>
          <w:szCs w:val="22"/>
        </w:rPr>
        <w:t xml:space="preserve"> In addition, </w:t>
      </w:r>
      <w:r w:rsidR="006E4332" w:rsidRPr="00C75204">
        <w:rPr>
          <w:sz w:val="22"/>
          <w:szCs w:val="22"/>
        </w:rPr>
        <w:t xml:space="preserve">for extended family members, </w:t>
      </w:r>
      <w:r w:rsidR="008E683A" w:rsidRPr="00C75204">
        <w:rPr>
          <w:sz w:val="22"/>
          <w:szCs w:val="22"/>
        </w:rPr>
        <w:t xml:space="preserve">there are serious fertility implications that </w:t>
      </w:r>
      <w:r w:rsidR="006E4332" w:rsidRPr="00C75204">
        <w:rPr>
          <w:sz w:val="22"/>
          <w:szCs w:val="22"/>
        </w:rPr>
        <w:t>may impact reproductive planning and progressive neurological problems in carriers over age 50 that make knowledge of the disorder key</w:t>
      </w:r>
      <w:r w:rsidR="008E683A" w:rsidRPr="00C75204">
        <w:rPr>
          <w:sz w:val="22"/>
          <w:szCs w:val="22"/>
        </w:rPr>
        <w:t xml:space="preserve">.  </w:t>
      </w:r>
      <w:r w:rsidRPr="00C75204">
        <w:rPr>
          <w:sz w:val="22"/>
          <w:szCs w:val="22"/>
        </w:rPr>
        <w:t>Making the proper diagnosis</w:t>
      </w:r>
      <w:r w:rsidR="004B1B62">
        <w:rPr>
          <w:sz w:val="22"/>
          <w:szCs w:val="22"/>
        </w:rPr>
        <w:t xml:space="preserve"> rules out other diagnoses</w:t>
      </w:r>
      <w:r w:rsidR="006E4332" w:rsidRPr="00C75204">
        <w:rPr>
          <w:sz w:val="22"/>
          <w:szCs w:val="22"/>
        </w:rPr>
        <w:t xml:space="preserve"> and</w:t>
      </w:r>
      <w:r w:rsidR="008E683A" w:rsidRPr="00C75204">
        <w:rPr>
          <w:sz w:val="22"/>
          <w:szCs w:val="22"/>
        </w:rPr>
        <w:t xml:space="preserve"> decrease</w:t>
      </w:r>
      <w:r w:rsidR="006E4332" w:rsidRPr="00C75204">
        <w:rPr>
          <w:sz w:val="22"/>
          <w:szCs w:val="22"/>
        </w:rPr>
        <w:t>s</w:t>
      </w:r>
      <w:r w:rsidR="008E683A" w:rsidRPr="00C75204">
        <w:rPr>
          <w:sz w:val="22"/>
          <w:szCs w:val="22"/>
        </w:rPr>
        <w:t xml:space="preserve"> the risk </w:t>
      </w:r>
      <w:r w:rsidR="006E4332" w:rsidRPr="00C75204">
        <w:rPr>
          <w:sz w:val="22"/>
          <w:szCs w:val="22"/>
        </w:rPr>
        <w:t>of medical errors and</w:t>
      </w:r>
      <w:r w:rsidR="008E683A" w:rsidRPr="00C75204">
        <w:rPr>
          <w:sz w:val="22"/>
          <w:szCs w:val="22"/>
        </w:rPr>
        <w:t xml:space="preserve"> unnecessary testing.  Diagnosis</w:t>
      </w:r>
      <w:r w:rsidRPr="00C75204">
        <w:rPr>
          <w:sz w:val="22"/>
          <w:szCs w:val="22"/>
        </w:rPr>
        <w:t xml:space="preserve"> is key to providing specific treatment recommendations</w:t>
      </w:r>
      <w:r w:rsidR="00523071" w:rsidRPr="00523071">
        <w:t xml:space="preserve"> </w:t>
      </w:r>
      <w:r w:rsidR="00523071">
        <w:rPr>
          <w:sz w:val="22"/>
          <w:szCs w:val="22"/>
        </w:rPr>
        <w:t xml:space="preserve">including counseling regarding future reproductive options. </w:t>
      </w:r>
      <w:r w:rsidRPr="00C75204">
        <w:rPr>
          <w:sz w:val="22"/>
          <w:szCs w:val="22"/>
        </w:rPr>
        <w:t xml:space="preserve">  </w:t>
      </w:r>
    </w:p>
    <w:p w:rsidR="00A8015F" w:rsidRPr="00A8015F" w:rsidRDefault="00A8015F" w:rsidP="00AA3CEB">
      <w:pPr>
        <w:pStyle w:val="bodytext"/>
      </w:pPr>
    </w:p>
    <w:p w:rsidR="005345D0" w:rsidRPr="008377F6" w:rsidRDefault="00A12397" w:rsidP="00BD2101">
      <w:pPr>
        <w:pStyle w:val="CHNblue-left"/>
      </w:pPr>
      <w:r w:rsidRPr="008377F6">
        <w:t>References</w:t>
      </w:r>
    </w:p>
    <w:p w:rsidR="00A12397" w:rsidRPr="008F3EC1" w:rsidRDefault="00F61D6E" w:rsidP="00BD2101">
      <w:pPr>
        <w:pStyle w:val="bodytext"/>
        <w:rPr>
          <w:rStyle w:val="Hyperlink"/>
          <w:rFonts w:eastAsiaTheme="minorHAnsi" w:cstheme="minorBidi"/>
          <w:sz w:val="22"/>
          <w:szCs w:val="22"/>
        </w:rPr>
      </w:pPr>
      <w:r w:rsidRPr="00C75204">
        <w:rPr>
          <w:b/>
          <w:sz w:val="22"/>
          <w:szCs w:val="22"/>
        </w:rPr>
        <w:t>National Fragile X Foundation website:</w:t>
      </w:r>
      <w:r>
        <w:rPr>
          <w:b/>
        </w:rPr>
        <w:t xml:space="preserve"> </w:t>
      </w:r>
      <w:hyperlink r:id="rId8" w:history="1">
        <w:r w:rsidR="00A12397" w:rsidRPr="0073123A">
          <w:rPr>
            <w:rStyle w:val="Hyperlink"/>
            <w:rFonts w:eastAsiaTheme="minorHAnsi" w:cstheme="minorBidi"/>
            <w:sz w:val="22"/>
            <w:szCs w:val="22"/>
          </w:rPr>
          <w:t>http://www.fragilex.org</w:t>
        </w:r>
      </w:hyperlink>
    </w:p>
    <w:p w:rsidR="00C87EB5" w:rsidRPr="00BD2101" w:rsidRDefault="00C87EB5" w:rsidP="00BD2101">
      <w:pPr>
        <w:pStyle w:val="body-bullet"/>
      </w:pPr>
      <w:r w:rsidRPr="00BD2101">
        <w:t>Fragile  X Association of Washington</w:t>
      </w:r>
      <w:r w:rsidR="00766E4D" w:rsidRPr="00BD2101">
        <w:t xml:space="preserve"> S</w:t>
      </w:r>
      <w:r w:rsidR="0073790E" w:rsidRPr="00BD2101">
        <w:t>tate:</w:t>
      </w:r>
      <w:r w:rsidR="00FF715F" w:rsidRPr="00BD2101">
        <w:t xml:space="preserve">  </w:t>
      </w:r>
      <w:hyperlink r:id="rId9" w:history="1">
        <w:r w:rsidR="00FF715F" w:rsidRPr="00BD2101">
          <w:rPr>
            <w:rStyle w:val="Hyperlink"/>
            <w:rFonts w:ascii="Calibri" w:hAnsi="Calibri"/>
          </w:rPr>
          <w:t>http://www.wafragilex.org/</w:t>
        </w:r>
      </w:hyperlink>
    </w:p>
    <w:p w:rsidR="008377F6" w:rsidRDefault="005900A8" w:rsidP="00BD2101">
      <w:pPr>
        <w:pStyle w:val="body-bullet"/>
      </w:pPr>
      <w:r w:rsidRPr="005900A8">
        <w:t>The premiere text</w:t>
      </w:r>
      <w:r w:rsidR="00D170C5">
        <w:t>book</w:t>
      </w:r>
      <w:r w:rsidRPr="005900A8">
        <w:t xml:space="preserve"> on fragile X syndrome:</w:t>
      </w:r>
      <w:r w:rsidR="00BC7F98" w:rsidRPr="00BC7F98">
        <w:t xml:space="preserve"> </w:t>
      </w:r>
      <w:r w:rsidR="003A406D">
        <w:t xml:space="preserve">Randi and Paul Hagerman. </w:t>
      </w:r>
      <w:r w:rsidR="00BC7F98">
        <w:t xml:space="preserve">2002. </w:t>
      </w:r>
      <w:r w:rsidR="00BC7F98" w:rsidRPr="00C75204">
        <w:t xml:space="preserve"> </w:t>
      </w:r>
      <w:r w:rsidRPr="00C75204">
        <w:t xml:space="preserve"> </w:t>
      </w:r>
      <w:r w:rsidRPr="003A406D">
        <w:rPr>
          <w:i/>
        </w:rPr>
        <w:t>F</w:t>
      </w:r>
      <w:r w:rsidR="008377F6" w:rsidRPr="003A406D">
        <w:rPr>
          <w:i/>
        </w:rPr>
        <w:t xml:space="preserve">ragile X Syndrome:  Diagnosis, Treatment, and Research. </w:t>
      </w:r>
      <w:r w:rsidR="00BC7F98">
        <w:t xml:space="preserve">Baltimore and London: </w:t>
      </w:r>
      <w:r w:rsidR="008377F6">
        <w:t xml:space="preserve">Johns Hopkins University Press. </w:t>
      </w:r>
    </w:p>
    <w:p w:rsidR="00DC45A4" w:rsidRDefault="00DC45A4" w:rsidP="00BD2101">
      <w:pPr>
        <w:pStyle w:val="bodytext"/>
      </w:pPr>
    </w:p>
    <w:p w:rsidR="000A6740" w:rsidRPr="008377F6" w:rsidRDefault="004F5359" w:rsidP="003F01EB">
      <w:pPr>
        <w:pStyle w:val="CHNblue-left"/>
      </w:pPr>
      <w:r>
        <w:t xml:space="preserve">Local Clinical </w:t>
      </w:r>
      <w:r w:rsidR="000A6740" w:rsidRPr="008377F6">
        <w:t>Resources</w:t>
      </w:r>
    </w:p>
    <w:p w:rsidR="00423523" w:rsidRDefault="000A6740" w:rsidP="00AA3CEB">
      <w:pPr>
        <w:pStyle w:val="body-bullet"/>
        <w:ind w:left="360"/>
      </w:pPr>
      <w:r>
        <w:t xml:space="preserve">Seattle Children’s Hospital Autism Center. </w:t>
      </w:r>
      <w:r w:rsidR="0086020D">
        <w:t xml:space="preserve"> The Seattle Children’s Hospital A</w:t>
      </w:r>
      <w:r w:rsidR="008377F6">
        <w:t>utism Center accepts patients with fragile X whether</w:t>
      </w:r>
      <w:r w:rsidR="003F613B">
        <w:t xml:space="preserve"> or not they have autism</w:t>
      </w:r>
      <w:r w:rsidR="005B0333">
        <w:t xml:space="preserve"> as long as a referral f</w:t>
      </w:r>
      <w:r w:rsidR="00186CF9">
        <w:t>rom the primary care provider has been</w:t>
      </w:r>
      <w:r w:rsidR="005B0333">
        <w:t xml:space="preserve"> obtained</w:t>
      </w:r>
      <w:r w:rsidR="008377F6">
        <w:t>.</w:t>
      </w:r>
      <w:r w:rsidR="00A84228">
        <w:t xml:space="preserve">  Call 206-987-8080 with questions.</w:t>
      </w:r>
    </w:p>
    <w:p w:rsidR="008958E6" w:rsidRDefault="000A6740" w:rsidP="00AA3CEB">
      <w:pPr>
        <w:pStyle w:val="body-bullet"/>
        <w:ind w:left="360"/>
      </w:pPr>
      <w:r>
        <w:t>University of Washing</w:t>
      </w:r>
      <w:r w:rsidR="0019163C">
        <w:t>t</w:t>
      </w:r>
      <w:r>
        <w:t xml:space="preserve">on.  Center on Human Development and </w:t>
      </w:r>
      <w:r w:rsidR="0086020D">
        <w:t xml:space="preserve">Disability.  </w:t>
      </w:r>
      <w:r w:rsidR="001C6C71">
        <w:t xml:space="preserve">Neurologist and geneticist, </w:t>
      </w:r>
      <w:r w:rsidR="0086020D">
        <w:t>Dr. Fuki Hisama</w:t>
      </w:r>
      <w:r w:rsidR="001C6C71">
        <w:t>,</w:t>
      </w:r>
      <w:r w:rsidR="008377F6">
        <w:t xml:space="preserve"> tests and treats adults for fragile X </w:t>
      </w:r>
      <w:r w:rsidR="0019163C">
        <w:t xml:space="preserve">and </w:t>
      </w:r>
      <w:r w:rsidR="008377F6">
        <w:t>associated disorders in the Seattle area.</w:t>
      </w:r>
      <w:r w:rsidR="005B0333">
        <w:t xml:space="preserve"> Primary care referral is required.</w:t>
      </w:r>
      <w:r w:rsidR="008958E6" w:rsidRPr="008958E6">
        <w:rPr>
          <w:i/>
        </w:rPr>
        <w:t xml:space="preserve"> </w:t>
      </w:r>
      <w:r w:rsidR="008958E6" w:rsidRPr="008958E6">
        <w:t>Call 206-598-4030 for more information</w:t>
      </w:r>
      <w:r w:rsidR="008958E6">
        <w:t xml:space="preserve"> and appointments</w:t>
      </w:r>
      <w:r w:rsidR="008958E6" w:rsidRPr="008958E6">
        <w:t>.</w:t>
      </w:r>
    </w:p>
    <w:p w:rsidR="00AA3CEB" w:rsidRPr="00966A0A" w:rsidRDefault="00AA3CEB" w:rsidP="00AA3CEB">
      <w:pPr>
        <w:pStyle w:val="bodytext"/>
        <w:rPr>
          <w:i/>
        </w:rPr>
      </w:pPr>
    </w:p>
    <w:p w:rsidR="000A6740" w:rsidRDefault="000A6740" w:rsidP="00AA3CEB">
      <w:pPr>
        <w:pStyle w:val="CHNblue-left"/>
      </w:pPr>
      <w:r w:rsidRPr="005B0333">
        <w:t xml:space="preserve">County Specific </w:t>
      </w:r>
      <w:r w:rsidR="00C33BA1">
        <w:t xml:space="preserve">Needs </w:t>
      </w:r>
      <w:r w:rsidR="0023494F">
        <w:t xml:space="preserve">Information </w:t>
      </w:r>
      <w:r w:rsidR="00C33BA1">
        <w:t xml:space="preserve">and </w:t>
      </w:r>
      <w:r w:rsidR="00AA3CEB">
        <w:t>Referral</w:t>
      </w:r>
      <w:r w:rsidR="00C33BA1">
        <w:t xml:space="preserve"> </w:t>
      </w:r>
      <w:r w:rsidRPr="005B0333">
        <w:t>Resources</w:t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426"/>
        <w:gridCol w:w="1842"/>
        <w:gridCol w:w="1692"/>
        <w:gridCol w:w="1976"/>
        <w:gridCol w:w="1692"/>
      </w:tblGrid>
      <w:tr w:rsidR="00A514D3" w:rsidTr="00C75204">
        <w:trPr>
          <w:cantSplit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D3" w:rsidRDefault="00A514D3" w:rsidP="00C33BA1">
            <w:pPr>
              <w:pStyle w:val="Heading3"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</w:t>
            </w:r>
          </w:p>
        </w:tc>
      </w:tr>
      <w:tr w:rsidR="00A514D3" w:rsidTr="00C75204">
        <w:trPr>
          <w:cantSplit/>
          <w:trHeight w:val="558"/>
        </w:trPr>
        <w:tc>
          <w:tcPr>
            <w:tcW w:w="352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D3" w:rsidRPr="0023494F" w:rsidRDefault="0019163C">
            <w:pPr>
              <w:pStyle w:val="ArrowBol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 children birth to age </w:t>
            </w:r>
            <w:r w:rsidR="00A514D3" w:rsidRPr="0023494F">
              <w:rPr>
                <w:rFonts w:ascii="Calibri" w:hAnsi="Calibri"/>
                <w:sz w:val="22"/>
                <w:szCs w:val="22"/>
              </w:rPr>
              <w:t>18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02" w:type="dxa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D3" w:rsidRPr="0023494F" w:rsidRDefault="00A514D3">
            <w:pPr>
              <w:pStyle w:val="Body0"/>
              <w:rPr>
                <w:rFonts w:ascii="Calibri" w:hAnsi="Calibri"/>
                <w:sz w:val="22"/>
                <w:szCs w:val="22"/>
              </w:rPr>
            </w:pPr>
            <w:r w:rsidRPr="0023494F">
              <w:rPr>
                <w:rFonts w:ascii="Calibri" w:hAnsi="Calibri"/>
                <w:sz w:val="22"/>
                <w:szCs w:val="22"/>
              </w:rPr>
              <w:t>Contact:  (4)</w:t>
            </w:r>
          </w:p>
        </w:tc>
      </w:tr>
      <w:tr w:rsidR="00A514D3" w:rsidTr="00C75204">
        <w:trPr>
          <w:cantSplit/>
          <w:trHeight w:val="765"/>
        </w:trPr>
        <w:tc>
          <w:tcPr>
            <w:tcW w:w="352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D3" w:rsidRPr="0023494F" w:rsidRDefault="0019163C">
            <w:pPr>
              <w:pStyle w:val="ArrowBol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children under age 3</w:t>
            </w:r>
            <w:r w:rsidR="00A514D3" w:rsidRPr="002349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02" w:type="dxa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4D3" w:rsidRDefault="00A514D3">
            <w:pPr>
              <w:pStyle w:val="Body0"/>
              <w:rPr>
                <w:rFonts w:ascii="Calibri" w:hAnsi="Calibri"/>
                <w:sz w:val="22"/>
                <w:szCs w:val="22"/>
              </w:rPr>
            </w:pPr>
            <w:r w:rsidRPr="0023494F">
              <w:rPr>
                <w:rFonts w:ascii="Calibri" w:hAnsi="Calibri"/>
                <w:sz w:val="22"/>
                <w:szCs w:val="22"/>
              </w:rPr>
              <w:t>Contact:  (5)</w:t>
            </w:r>
          </w:p>
          <w:p w:rsidR="0023494F" w:rsidRPr="0023494F" w:rsidRDefault="0023494F">
            <w:pPr>
              <w:pStyle w:val="Body0"/>
              <w:rPr>
                <w:rFonts w:ascii="Calibri" w:hAnsi="Calibri"/>
                <w:sz w:val="22"/>
                <w:szCs w:val="22"/>
              </w:rPr>
            </w:pPr>
          </w:p>
          <w:p w:rsidR="00A514D3" w:rsidRPr="0023494F" w:rsidRDefault="00A514D3">
            <w:pPr>
              <w:pStyle w:val="Body0"/>
              <w:rPr>
                <w:rFonts w:ascii="Calibri" w:hAnsi="Calibri"/>
                <w:sz w:val="22"/>
                <w:szCs w:val="22"/>
              </w:rPr>
            </w:pPr>
          </w:p>
        </w:tc>
      </w:tr>
      <w:tr w:rsidR="00A514D3" w:rsidTr="00C75204">
        <w:trPr>
          <w:cantSplit/>
          <w:trHeight w:val="459"/>
        </w:trPr>
        <w:tc>
          <w:tcPr>
            <w:tcW w:w="3523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4D3" w:rsidRPr="0023494F" w:rsidRDefault="0019163C" w:rsidP="0019163C">
            <w:pPr>
              <w:pStyle w:val="ArrowBol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 children age 3 </w:t>
            </w:r>
            <w:r w:rsidR="00A514D3" w:rsidRPr="0023494F">
              <w:rPr>
                <w:rFonts w:ascii="Calibri" w:hAnsi="Calibri"/>
                <w:sz w:val="22"/>
                <w:szCs w:val="22"/>
              </w:rPr>
              <w:t>and older:</w:t>
            </w:r>
          </w:p>
        </w:tc>
        <w:tc>
          <w:tcPr>
            <w:tcW w:w="7202" w:type="dxa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04" w:rsidRPr="0023494F" w:rsidRDefault="00A514D3">
            <w:pPr>
              <w:pStyle w:val="Body0"/>
              <w:rPr>
                <w:rFonts w:ascii="Calibri" w:hAnsi="Calibri"/>
                <w:sz w:val="22"/>
                <w:szCs w:val="22"/>
              </w:rPr>
            </w:pPr>
            <w:r w:rsidRPr="0023494F">
              <w:rPr>
                <w:rFonts w:ascii="Calibri" w:hAnsi="Calibri"/>
                <w:sz w:val="22"/>
                <w:szCs w:val="22"/>
              </w:rPr>
              <w:t>Contact:  Local school district (6)</w:t>
            </w:r>
          </w:p>
          <w:p w:rsidR="00A514D3" w:rsidRPr="0023494F" w:rsidRDefault="00A514D3">
            <w:pPr>
              <w:pStyle w:val="Body0"/>
              <w:rPr>
                <w:rFonts w:ascii="Calibri" w:hAnsi="Calibri"/>
                <w:sz w:val="22"/>
                <w:szCs w:val="22"/>
              </w:rPr>
            </w:pPr>
          </w:p>
        </w:tc>
      </w:tr>
      <w:tr w:rsidR="00C75204" w:rsidTr="00C75204">
        <w:trPr>
          <w:cantSplit/>
          <w:trHeight w:val="459"/>
        </w:trPr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204" w:rsidRDefault="00C75204" w:rsidP="0019163C">
            <w:pPr>
              <w:pStyle w:val="ArrowBol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Family Support</w:t>
            </w:r>
          </w:p>
        </w:tc>
        <w:tc>
          <w:tcPr>
            <w:tcW w:w="720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04" w:rsidRDefault="00C75204">
            <w:pPr>
              <w:pStyle w:val="Body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Contact: (7)</w:t>
            </w:r>
          </w:p>
          <w:p w:rsidR="00C75204" w:rsidRDefault="00C75204">
            <w:pPr>
              <w:pStyle w:val="Body0"/>
              <w:rPr>
                <w:rFonts w:ascii="Calibri" w:hAnsi="Calibri"/>
                <w:sz w:val="22"/>
                <w:szCs w:val="22"/>
              </w:rPr>
            </w:pPr>
          </w:p>
          <w:p w:rsidR="00C75204" w:rsidRPr="0023494F" w:rsidRDefault="00C75204">
            <w:pPr>
              <w:pStyle w:val="Body0"/>
              <w:rPr>
                <w:rFonts w:ascii="Calibri" w:hAnsi="Calibri"/>
                <w:sz w:val="22"/>
                <w:szCs w:val="22"/>
              </w:rPr>
            </w:pPr>
          </w:p>
        </w:tc>
      </w:tr>
      <w:tr w:rsidR="00A514D3" w:rsidTr="00C75204">
        <w:tc>
          <w:tcPr>
            <w:tcW w:w="2097" w:type="dxa"/>
            <w:tcBorders>
              <w:top w:val="single" w:sz="4" w:space="0" w:color="auto"/>
            </w:tcBorders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  <w:hideMark/>
          </w:tcPr>
          <w:p w:rsidR="00A514D3" w:rsidRDefault="00A514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514D3" w:rsidRPr="005B0333" w:rsidRDefault="00A514D3" w:rsidP="00BD2101">
      <w:pPr>
        <w:rPr>
          <w:sz w:val="28"/>
          <w:szCs w:val="28"/>
          <w:u w:val="single"/>
        </w:rPr>
      </w:pPr>
    </w:p>
    <w:sectPr w:rsidR="00A514D3" w:rsidRPr="005B0333" w:rsidSect="007F6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3D6"/>
    <w:multiLevelType w:val="hybridMultilevel"/>
    <w:tmpl w:val="6E7E50BC"/>
    <w:lvl w:ilvl="0" w:tplc="296A1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F625F"/>
    <w:multiLevelType w:val="hybridMultilevel"/>
    <w:tmpl w:val="F2983C76"/>
    <w:lvl w:ilvl="0" w:tplc="C76886A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467AD"/>
    <w:multiLevelType w:val="singleLevel"/>
    <w:tmpl w:val="3F9C976A"/>
    <w:lvl w:ilvl="0">
      <w:start w:val="1"/>
      <w:numFmt w:val="bullet"/>
      <w:pStyle w:val="ArrowBold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B0F7E73"/>
    <w:multiLevelType w:val="hybridMultilevel"/>
    <w:tmpl w:val="E0EA117C"/>
    <w:lvl w:ilvl="0" w:tplc="3E66225A">
      <w:start w:val="1"/>
      <w:numFmt w:val="decimal"/>
      <w:lvlText w:val="(%1)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A126B"/>
    <w:multiLevelType w:val="hybridMultilevel"/>
    <w:tmpl w:val="F410CAA6"/>
    <w:lvl w:ilvl="0" w:tplc="FFF04A38">
      <w:start w:val="1"/>
      <w:numFmt w:val="bullet"/>
      <w:pStyle w:val="body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4706C"/>
    <w:multiLevelType w:val="hybridMultilevel"/>
    <w:tmpl w:val="E854931E"/>
    <w:lvl w:ilvl="0" w:tplc="7E146236">
      <w:start w:val="1"/>
      <w:numFmt w:val="decimal"/>
      <w:pStyle w:val="body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759C7"/>
    <w:multiLevelType w:val="hybridMultilevel"/>
    <w:tmpl w:val="8CCC0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1A"/>
    <w:rsid w:val="0001078F"/>
    <w:rsid w:val="000437B5"/>
    <w:rsid w:val="00086412"/>
    <w:rsid w:val="000916C5"/>
    <w:rsid w:val="00092560"/>
    <w:rsid w:val="000926A2"/>
    <w:rsid w:val="00097EEC"/>
    <w:rsid w:val="000A6740"/>
    <w:rsid w:val="000B3E8C"/>
    <w:rsid w:val="000B4FC8"/>
    <w:rsid w:val="000E18BF"/>
    <w:rsid w:val="000E7092"/>
    <w:rsid w:val="000E772C"/>
    <w:rsid w:val="00113DC5"/>
    <w:rsid w:val="001154C1"/>
    <w:rsid w:val="0012026F"/>
    <w:rsid w:val="00186CF9"/>
    <w:rsid w:val="0019163C"/>
    <w:rsid w:val="001A563F"/>
    <w:rsid w:val="001B2CD8"/>
    <w:rsid w:val="001C6C71"/>
    <w:rsid w:val="001E1FE4"/>
    <w:rsid w:val="001E349B"/>
    <w:rsid w:val="001F0838"/>
    <w:rsid w:val="001F67E5"/>
    <w:rsid w:val="0023494F"/>
    <w:rsid w:val="00276BB1"/>
    <w:rsid w:val="002839F3"/>
    <w:rsid w:val="002944D2"/>
    <w:rsid w:val="002958EF"/>
    <w:rsid w:val="002A0BAD"/>
    <w:rsid w:val="002E5D35"/>
    <w:rsid w:val="00302B74"/>
    <w:rsid w:val="0031030A"/>
    <w:rsid w:val="003272C5"/>
    <w:rsid w:val="00344930"/>
    <w:rsid w:val="00350EB0"/>
    <w:rsid w:val="00366662"/>
    <w:rsid w:val="00370924"/>
    <w:rsid w:val="003A406D"/>
    <w:rsid w:val="003C0F0B"/>
    <w:rsid w:val="003D4BA3"/>
    <w:rsid w:val="003F01EB"/>
    <w:rsid w:val="003F0346"/>
    <w:rsid w:val="003F25A5"/>
    <w:rsid w:val="003F613B"/>
    <w:rsid w:val="00422CD6"/>
    <w:rsid w:val="00423523"/>
    <w:rsid w:val="00425DB0"/>
    <w:rsid w:val="0043467E"/>
    <w:rsid w:val="004905D5"/>
    <w:rsid w:val="004B1B62"/>
    <w:rsid w:val="004B5426"/>
    <w:rsid w:val="004F5359"/>
    <w:rsid w:val="00523071"/>
    <w:rsid w:val="005345D0"/>
    <w:rsid w:val="00546D62"/>
    <w:rsid w:val="005900A8"/>
    <w:rsid w:val="00590C45"/>
    <w:rsid w:val="005941D8"/>
    <w:rsid w:val="00594C25"/>
    <w:rsid w:val="005B0333"/>
    <w:rsid w:val="005E64BE"/>
    <w:rsid w:val="0060304D"/>
    <w:rsid w:val="00623CDA"/>
    <w:rsid w:val="00640667"/>
    <w:rsid w:val="00666D76"/>
    <w:rsid w:val="006724D8"/>
    <w:rsid w:val="00683244"/>
    <w:rsid w:val="0068446F"/>
    <w:rsid w:val="006A50AA"/>
    <w:rsid w:val="006B4E8D"/>
    <w:rsid w:val="006E4332"/>
    <w:rsid w:val="0071087D"/>
    <w:rsid w:val="0072163B"/>
    <w:rsid w:val="0073123A"/>
    <w:rsid w:val="007367F6"/>
    <w:rsid w:val="0073790E"/>
    <w:rsid w:val="00766E4D"/>
    <w:rsid w:val="007B3716"/>
    <w:rsid w:val="007F1C34"/>
    <w:rsid w:val="007F69FB"/>
    <w:rsid w:val="008377F6"/>
    <w:rsid w:val="0086020D"/>
    <w:rsid w:val="008917BE"/>
    <w:rsid w:val="008958E6"/>
    <w:rsid w:val="008B774F"/>
    <w:rsid w:val="008E683A"/>
    <w:rsid w:val="008F2A46"/>
    <w:rsid w:val="008F3EC1"/>
    <w:rsid w:val="008F3F02"/>
    <w:rsid w:val="008F7046"/>
    <w:rsid w:val="00912AFC"/>
    <w:rsid w:val="00966A0A"/>
    <w:rsid w:val="009678D7"/>
    <w:rsid w:val="00993E37"/>
    <w:rsid w:val="009D0135"/>
    <w:rsid w:val="00A12397"/>
    <w:rsid w:val="00A14DED"/>
    <w:rsid w:val="00A514D3"/>
    <w:rsid w:val="00A52F43"/>
    <w:rsid w:val="00A55361"/>
    <w:rsid w:val="00A8015F"/>
    <w:rsid w:val="00A83A4B"/>
    <w:rsid w:val="00A84228"/>
    <w:rsid w:val="00AA3CEB"/>
    <w:rsid w:val="00AD7CC2"/>
    <w:rsid w:val="00B10A71"/>
    <w:rsid w:val="00B14C79"/>
    <w:rsid w:val="00B20D7E"/>
    <w:rsid w:val="00B21E62"/>
    <w:rsid w:val="00B21EC6"/>
    <w:rsid w:val="00BC7F98"/>
    <w:rsid w:val="00BD2101"/>
    <w:rsid w:val="00C33BA1"/>
    <w:rsid w:val="00C42825"/>
    <w:rsid w:val="00C75204"/>
    <w:rsid w:val="00C87C59"/>
    <w:rsid w:val="00C87EB5"/>
    <w:rsid w:val="00C92F5D"/>
    <w:rsid w:val="00CA7435"/>
    <w:rsid w:val="00CE14CB"/>
    <w:rsid w:val="00D170C5"/>
    <w:rsid w:val="00D64DA4"/>
    <w:rsid w:val="00D70D85"/>
    <w:rsid w:val="00D97B0C"/>
    <w:rsid w:val="00DA522B"/>
    <w:rsid w:val="00DB35A2"/>
    <w:rsid w:val="00DB4E38"/>
    <w:rsid w:val="00DB581D"/>
    <w:rsid w:val="00DC4345"/>
    <w:rsid w:val="00DC45A4"/>
    <w:rsid w:val="00DD2ACD"/>
    <w:rsid w:val="00DE26DD"/>
    <w:rsid w:val="00E2232A"/>
    <w:rsid w:val="00E67424"/>
    <w:rsid w:val="00E679DF"/>
    <w:rsid w:val="00E82F1A"/>
    <w:rsid w:val="00E90B11"/>
    <w:rsid w:val="00EE06E1"/>
    <w:rsid w:val="00EF15CC"/>
    <w:rsid w:val="00EF476E"/>
    <w:rsid w:val="00F05B13"/>
    <w:rsid w:val="00F10398"/>
    <w:rsid w:val="00F42A38"/>
    <w:rsid w:val="00F511CE"/>
    <w:rsid w:val="00F61D6E"/>
    <w:rsid w:val="00FB4483"/>
    <w:rsid w:val="00FD2981"/>
    <w:rsid w:val="00FD73B6"/>
    <w:rsid w:val="00FE5517"/>
    <w:rsid w:val="00FF6B98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8FF85-D8FC-4763-A19C-411735A6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43"/>
  </w:style>
  <w:style w:type="paragraph" w:styleId="Heading3">
    <w:name w:val="heading 3"/>
    <w:basedOn w:val="Normal"/>
    <w:link w:val="Heading3Char"/>
    <w:uiPriority w:val="9"/>
    <w:unhideWhenUsed/>
    <w:qFormat/>
    <w:rsid w:val="00A514D3"/>
    <w:pPr>
      <w:keepNext/>
      <w:spacing w:before="60" w:after="60" w:line="240" w:lineRule="auto"/>
      <w:jc w:val="center"/>
      <w:outlineLvl w:val="2"/>
    </w:pPr>
    <w:rPr>
      <w:rFonts w:ascii="Helvetica" w:hAnsi="Helvetica" w:cs="Helvetica"/>
      <w:b/>
      <w:bCs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9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5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39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14D3"/>
    <w:rPr>
      <w:rFonts w:ascii="Helvetica" w:hAnsi="Helvetica" w:cs="Helvetica"/>
      <w:b/>
      <w:bCs/>
      <w:smallCaps/>
      <w:sz w:val="28"/>
      <w:szCs w:val="28"/>
    </w:rPr>
  </w:style>
  <w:style w:type="paragraph" w:customStyle="1" w:styleId="Body0">
    <w:name w:val="Body"/>
    <w:basedOn w:val="Normal"/>
    <w:uiPriority w:val="99"/>
    <w:rsid w:val="00A514D3"/>
    <w:pPr>
      <w:spacing w:after="0" w:line="240" w:lineRule="exact"/>
    </w:pPr>
    <w:rPr>
      <w:rFonts w:ascii="Arial" w:hAnsi="Arial" w:cs="Arial"/>
      <w:sz w:val="20"/>
      <w:szCs w:val="20"/>
    </w:rPr>
  </w:style>
  <w:style w:type="paragraph" w:customStyle="1" w:styleId="ArrowBold">
    <w:name w:val="Arrow Bold"/>
    <w:basedOn w:val="Normal"/>
    <w:uiPriority w:val="99"/>
    <w:rsid w:val="00A514D3"/>
    <w:pPr>
      <w:numPr>
        <w:numId w:val="5"/>
      </w:numPr>
      <w:spacing w:after="24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9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_text"/>
    <w:basedOn w:val="Normal"/>
    <w:link w:val="bodytextChar"/>
    <w:qFormat/>
    <w:rsid w:val="007F69FB"/>
    <w:pPr>
      <w:numPr>
        <w:ilvl w:val="12"/>
      </w:numPr>
      <w:spacing w:after="0" w:line="240" w:lineRule="auto"/>
      <w:ind w:right="36"/>
    </w:pPr>
    <w:rPr>
      <w:rFonts w:ascii="Calibri" w:eastAsia="Times" w:hAnsi="Calibri" w:cs="Calibri"/>
      <w:sz w:val="20"/>
      <w:szCs w:val="20"/>
    </w:rPr>
  </w:style>
  <w:style w:type="paragraph" w:customStyle="1" w:styleId="CHNtitle">
    <w:name w:val="CHN_title"/>
    <w:basedOn w:val="Normal"/>
    <w:link w:val="CHNtitleChar"/>
    <w:qFormat/>
    <w:rsid w:val="007F69FB"/>
    <w:pPr>
      <w:spacing w:after="0" w:line="240" w:lineRule="auto"/>
      <w:jc w:val="center"/>
    </w:pPr>
    <w:rPr>
      <w:rFonts w:ascii="Calibri" w:eastAsia="Times New Roman" w:hAnsi="Calibri" w:cs="Calibri"/>
      <w:b/>
      <w:bCs/>
      <w:i/>
      <w:noProof/>
      <w:color w:val="000000" w:themeColor="text1"/>
      <w:sz w:val="40"/>
      <w:szCs w:val="40"/>
    </w:rPr>
  </w:style>
  <w:style w:type="character" w:customStyle="1" w:styleId="bodytextChar">
    <w:name w:val="body_text Char"/>
    <w:basedOn w:val="DefaultParagraphFont"/>
    <w:link w:val="bodytext"/>
    <w:rsid w:val="007F69FB"/>
    <w:rPr>
      <w:rFonts w:ascii="Calibri" w:eastAsia="Times" w:hAnsi="Calibri" w:cs="Calibri"/>
      <w:sz w:val="20"/>
      <w:szCs w:val="20"/>
    </w:rPr>
  </w:style>
  <w:style w:type="paragraph" w:customStyle="1" w:styleId="CHNblueheading-14pt">
    <w:name w:val="CHN_blue heading-14pt"/>
    <w:basedOn w:val="Normal"/>
    <w:link w:val="CHNblueheading-14ptChar"/>
    <w:qFormat/>
    <w:rsid w:val="007F69FB"/>
    <w:pPr>
      <w:spacing w:after="120" w:line="240" w:lineRule="auto"/>
      <w:jc w:val="center"/>
    </w:pPr>
    <w:rPr>
      <w:rFonts w:ascii="Calibri" w:hAnsi="Calibri" w:cs="Calibri"/>
      <w:b/>
      <w:color w:val="1F497D" w:themeColor="text2"/>
      <w:sz w:val="28"/>
      <w:szCs w:val="28"/>
    </w:rPr>
  </w:style>
  <w:style w:type="character" w:customStyle="1" w:styleId="CHNtitleChar">
    <w:name w:val="CHN_title Char"/>
    <w:basedOn w:val="DefaultParagraphFont"/>
    <w:link w:val="CHNtitle"/>
    <w:rsid w:val="007F69FB"/>
    <w:rPr>
      <w:rFonts w:ascii="Calibri" w:eastAsia="Times New Roman" w:hAnsi="Calibri" w:cs="Calibri"/>
      <w:b/>
      <w:bCs/>
      <w:i/>
      <w:noProof/>
      <w:color w:val="000000" w:themeColor="text1"/>
      <w:sz w:val="40"/>
      <w:szCs w:val="40"/>
    </w:rPr>
  </w:style>
  <w:style w:type="paragraph" w:customStyle="1" w:styleId="CHNblue-left">
    <w:name w:val="CHN_blue-left"/>
    <w:basedOn w:val="CHNblueheading-14pt"/>
    <w:link w:val="CHNblue-leftChar"/>
    <w:qFormat/>
    <w:rsid w:val="00AA3CEB"/>
    <w:pPr>
      <w:spacing w:after="60"/>
      <w:jc w:val="left"/>
    </w:pPr>
  </w:style>
  <w:style w:type="character" w:customStyle="1" w:styleId="CHNblueheading-14ptChar">
    <w:name w:val="CHN_blue heading-14pt Char"/>
    <w:basedOn w:val="DefaultParagraphFont"/>
    <w:link w:val="CHNblueheading-14pt"/>
    <w:rsid w:val="007F69FB"/>
    <w:rPr>
      <w:rFonts w:ascii="Calibri" w:hAnsi="Calibri" w:cs="Calibri"/>
      <w:b/>
      <w:color w:val="1F497D" w:themeColor="text2"/>
      <w:sz w:val="28"/>
      <w:szCs w:val="28"/>
    </w:rPr>
  </w:style>
  <w:style w:type="paragraph" w:customStyle="1" w:styleId="body">
    <w:name w:val="body#"/>
    <w:basedOn w:val="ListParagraph"/>
    <w:link w:val="bodyChar"/>
    <w:qFormat/>
    <w:rsid w:val="007F69FB"/>
    <w:pPr>
      <w:numPr>
        <w:numId w:val="1"/>
      </w:numPr>
      <w:spacing w:after="120" w:line="240" w:lineRule="auto"/>
      <w:ind w:left="540"/>
    </w:pPr>
  </w:style>
  <w:style w:type="character" w:customStyle="1" w:styleId="CHNblue-leftChar">
    <w:name w:val="CHN_blue-left Char"/>
    <w:basedOn w:val="CHNblueheading-14ptChar"/>
    <w:link w:val="CHNblue-left"/>
    <w:rsid w:val="00AA3CEB"/>
    <w:rPr>
      <w:rFonts w:ascii="Calibri" w:hAnsi="Calibri" w:cs="Calibri"/>
      <w:b/>
      <w:color w:val="1F497D" w:themeColor="text2"/>
      <w:sz w:val="28"/>
      <w:szCs w:val="28"/>
    </w:rPr>
  </w:style>
  <w:style w:type="paragraph" w:customStyle="1" w:styleId="body-bullet">
    <w:name w:val="body-bullet"/>
    <w:basedOn w:val="ListParagraph"/>
    <w:link w:val="body-bulletChar"/>
    <w:qFormat/>
    <w:rsid w:val="00AA3CEB"/>
    <w:pPr>
      <w:numPr>
        <w:numId w:val="4"/>
      </w:numPr>
      <w:spacing w:after="60" w:line="240" w:lineRule="auto"/>
      <w:ind w:left="547" w:hanging="18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F69FB"/>
  </w:style>
  <w:style w:type="character" w:customStyle="1" w:styleId="bodyChar">
    <w:name w:val="body# Char"/>
    <w:basedOn w:val="ListParagraphChar"/>
    <w:link w:val="body"/>
    <w:rsid w:val="007F69FB"/>
  </w:style>
  <w:style w:type="paragraph" w:customStyle="1" w:styleId="body-bold-left">
    <w:name w:val="body-bold-left"/>
    <w:basedOn w:val="Normal"/>
    <w:link w:val="body-bold-leftChar"/>
    <w:qFormat/>
    <w:rsid w:val="00AA3CEB"/>
    <w:pPr>
      <w:spacing w:after="60" w:line="240" w:lineRule="auto"/>
    </w:pPr>
    <w:rPr>
      <w:b/>
    </w:rPr>
  </w:style>
  <w:style w:type="character" w:customStyle="1" w:styleId="body-bulletChar">
    <w:name w:val="body-bullet Char"/>
    <w:basedOn w:val="ListParagraphChar"/>
    <w:link w:val="body-bullet"/>
    <w:rsid w:val="00AA3CEB"/>
  </w:style>
  <w:style w:type="character" w:customStyle="1" w:styleId="body-bold-leftChar">
    <w:name w:val="body-bold-left Char"/>
    <w:basedOn w:val="DefaultParagraphFont"/>
    <w:link w:val="body-bold-left"/>
    <w:rsid w:val="00AA3CEB"/>
    <w:rPr>
      <w:b/>
    </w:rPr>
  </w:style>
  <w:style w:type="table" w:styleId="TableGrid">
    <w:name w:val="Table Grid"/>
    <w:basedOn w:val="TableNormal"/>
    <w:uiPriority w:val="59"/>
    <w:rsid w:val="00A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ilex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fragile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58BB-3812-4750-9F5D-CD4625E8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Glew</dc:creator>
  <cp:lastModifiedBy>Kate Orville</cp:lastModifiedBy>
  <cp:revision>3</cp:revision>
  <cp:lastPrinted>2014-02-03T17:11:00Z</cp:lastPrinted>
  <dcterms:created xsi:type="dcterms:W3CDTF">2016-10-03T18:38:00Z</dcterms:created>
  <dcterms:modified xsi:type="dcterms:W3CDTF">2016-10-03T18:40:00Z</dcterms:modified>
</cp:coreProperties>
</file>