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F9A" w:rsidRDefault="00E55EF7">
      <w:pPr>
        <w:pStyle w:val="Heading5"/>
      </w:pPr>
      <w:r>
        <w:t>(</w:t>
      </w:r>
      <w:r w:rsidR="00E20F9A">
        <w:t>Date)</w:t>
      </w:r>
    </w:p>
    <w:p w:rsidR="00E20F9A" w:rsidRDefault="00E20F9A" w:rsidP="00BD479E">
      <w:pPr>
        <w:pStyle w:val="Heading1"/>
        <w:numPr>
          <w:ilvl w:val="0"/>
          <w:numId w:val="26"/>
        </w:numPr>
        <w:spacing w:after="0"/>
      </w:pPr>
      <w:r>
        <w:t xml:space="preserve">County Child Health Notes  </w:t>
      </w:r>
    </w:p>
    <w:p w:rsidR="00B77230" w:rsidRDefault="005B13F3" w:rsidP="00B77230">
      <w:pPr>
        <w:pStyle w:val="BodyText"/>
        <w:spacing w:before="60"/>
        <w:ind w:right="-1627"/>
      </w:pPr>
      <w:r>
        <w:t>Promoting partnerships between primary health care providers, families</w:t>
      </w:r>
      <w:r w:rsidR="00F22EB2">
        <w:t xml:space="preserve"> </w:t>
      </w:r>
      <w:r>
        <w:t xml:space="preserve">&amp; the community </w:t>
      </w:r>
    </w:p>
    <w:p w:rsidR="00E20F9A" w:rsidRDefault="005B13F3" w:rsidP="00B77230">
      <w:pPr>
        <w:pStyle w:val="BodyText"/>
        <w:ind w:right="-1620"/>
      </w:pPr>
      <w:proofErr w:type="gramStart"/>
      <w:r>
        <w:t>to</w:t>
      </w:r>
      <w:proofErr w:type="gramEnd"/>
      <w:r>
        <w:t xml:space="preserve"> support early identification of children with special needs and comprehensive care within a primary care Medical Home.</w:t>
      </w:r>
    </w:p>
    <w:p w:rsidR="00E20F9A" w:rsidRDefault="00B77230" w:rsidP="00BD479E">
      <w:pPr>
        <w:spacing w:before="6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3C8175" wp14:editId="343F27AB">
                <wp:simplePos x="0" y="0"/>
                <wp:positionH relativeFrom="margin">
                  <wp:align>left</wp:align>
                </wp:positionH>
                <wp:positionV relativeFrom="page">
                  <wp:posOffset>1434782</wp:posOffset>
                </wp:positionV>
                <wp:extent cx="6075045" cy="0"/>
                <wp:effectExtent l="0" t="19050" r="20955" b="1905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7504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E806E" id="Line 1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" from="0,112.95pt" to="478.35pt,1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" strokeweight="3pt">
                <v:stroke linestyle="thinThin"/>
                <w10:wrap anchorx="margin" anchory="page"/>
              </v:line>
            </w:pict>
          </mc:Fallback>
        </mc:AlternateContent>
      </w:r>
      <w:r w:rsidR="00E20F9A">
        <w:rPr>
          <w:rFonts w:ascii="Arial" w:hAnsi="Arial" w:cs="Arial"/>
          <w:sz w:val="18"/>
        </w:rPr>
        <w:t>Distributed by</w:t>
      </w:r>
      <w:r w:rsidR="00E20F9A">
        <w:rPr>
          <w:sz w:val="18"/>
        </w:rPr>
        <w:t>: (2)</w:t>
      </w:r>
    </w:p>
    <w:p w:rsidR="005B13F3" w:rsidRPr="006B3634" w:rsidRDefault="00E20F9A" w:rsidP="001E4CA9">
      <w:pPr>
        <w:pStyle w:val="HTMLPreformatted"/>
        <w:rPr>
          <w:rFonts w:ascii="Times New Roman" w:hAnsi="Times New Roman"/>
          <w:sz w:val="18"/>
          <w:szCs w:val="18"/>
          <w:lang w:val="en-US"/>
        </w:rPr>
      </w:pPr>
      <w:r w:rsidRPr="006B3634">
        <w:rPr>
          <w:rFonts w:ascii="Arial" w:hAnsi="Arial" w:cs="Arial"/>
          <w:sz w:val="18"/>
          <w:szCs w:val="18"/>
        </w:rPr>
        <w:t>Contributors</w:t>
      </w:r>
      <w:r w:rsidRPr="006B3634">
        <w:rPr>
          <w:rFonts w:ascii="Times New Roman" w:hAnsi="Times New Roman"/>
          <w:sz w:val="18"/>
          <w:szCs w:val="18"/>
        </w:rPr>
        <w:t xml:space="preserve">: </w:t>
      </w:r>
      <w:r w:rsidR="001E4CA9" w:rsidRPr="006B3634">
        <w:rPr>
          <w:rFonts w:ascii="Times New Roman" w:hAnsi="Times New Roman"/>
          <w:sz w:val="18"/>
          <w:szCs w:val="18"/>
        </w:rPr>
        <w:t>University of Washington,</w:t>
      </w:r>
      <w:r w:rsidRPr="006B3634">
        <w:rPr>
          <w:rFonts w:ascii="Times New Roman" w:hAnsi="Times New Roman"/>
          <w:sz w:val="18"/>
          <w:szCs w:val="18"/>
        </w:rPr>
        <w:t xml:space="preserve"> Center on Human Development &amp; Disability</w:t>
      </w:r>
      <w:r w:rsidR="004F5CED" w:rsidRPr="006B3634">
        <w:rPr>
          <w:rFonts w:ascii="Times New Roman" w:hAnsi="Times New Roman"/>
          <w:sz w:val="18"/>
          <w:szCs w:val="18"/>
        </w:rPr>
        <w:t>, and Washington S</w:t>
      </w:r>
      <w:r w:rsidR="005B13F3" w:rsidRPr="006B3634">
        <w:rPr>
          <w:rFonts w:ascii="Times New Roman" w:hAnsi="Times New Roman"/>
          <w:sz w:val="18"/>
          <w:szCs w:val="18"/>
        </w:rPr>
        <w:t>tate Department of Health</w:t>
      </w:r>
      <w:r w:rsidR="00B77230" w:rsidRPr="006B3634">
        <w:rPr>
          <w:rFonts w:ascii="Times New Roman" w:hAnsi="Times New Roman"/>
          <w:sz w:val="18"/>
          <w:szCs w:val="18"/>
          <w:lang w:val="en-US"/>
        </w:rPr>
        <w:t xml:space="preserve"> (DOH). R</w:t>
      </w:r>
      <w:proofErr w:type="spellStart"/>
      <w:r w:rsidR="005B13F3" w:rsidRPr="006B3634">
        <w:rPr>
          <w:rFonts w:ascii="Times New Roman" w:hAnsi="Times New Roman"/>
          <w:sz w:val="18"/>
          <w:szCs w:val="18"/>
        </w:rPr>
        <w:t>evised</w:t>
      </w:r>
      <w:proofErr w:type="spellEnd"/>
      <w:r w:rsidR="005B13F3" w:rsidRPr="006B3634">
        <w:rPr>
          <w:rFonts w:ascii="Times New Roman" w:hAnsi="Times New Roman"/>
          <w:sz w:val="18"/>
          <w:szCs w:val="18"/>
        </w:rPr>
        <w:t xml:space="preserve"> and updated by: John C. Thorne, Ph.D., CCC-SLP, </w:t>
      </w:r>
      <w:r w:rsidR="00B77230" w:rsidRPr="006B3634">
        <w:rPr>
          <w:rFonts w:ascii="Times New Roman" w:hAnsi="Times New Roman"/>
          <w:sz w:val="18"/>
          <w:szCs w:val="18"/>
          <w:lang w:val="en-US"/>
        </w:rPr>
        <w:t xml:space="preserve">UW </w:t>
      </w:r>
      <w:r w:rsidR="005B13F3" w:rsidRPr="006B3634">
        <w:rPr>
          <w:rFonts w:ascii="Times New Roman" w:hAnsi="Times New Roman"/>
          <w:sz w:val="18"/>
          <w:szCs w:val="18"/>
        </w:rPr>
        <w:t>Department of Speech and Hearing Sciences</w:t>
      </w:r>
      <w:r w:rsidR="00B77230" w:rsidRPr="006B3634">
        <w:rPr>
          <w:rFonts w:ascii="Times New Roman" w:hAnsi="Times New Roman"/>
          <w:sz w:val="18"/>
          <w:szCs w:val="18"/>
          <w:lang w:val="en-US"/>
        </w:rPr>
        <w:t>.</w:t>
      </w:r>
      <w:r w:rsidR="005B13F3" w:rsidRPr="006B3634">
        <w:rPr>
          <w:rFonts w:ascii="Times New Roman" w:hAnsi="Times New Roman"/>
          <w:sz w:val="18"/>
          <w:szCs w:val="18"/>
          <w:lang w:val="en-US"/>
        </w:rPr>
        <w:t xml:space="preserve"> Reviewed by: Kath</w:t>
      </w:r>
      <w:r w:rsidR="00B77230" w:rsidRPr="006B3634">
        <w:rPr>
          <w:rFonts w:ascii="Times New Roman" w:hAnsi="Times New Roman"/>
          <w:sz w:val="18"/>
          <w:szCs w:val="18"/>
          <w:lang w:val="en-US"/>
        </w:rPr>
        <w:t>erine</w:t>
      </w:r>
      <w:r w:rsidR="005B13F3" w:rsidRPr="006B3634">
        <w:rPr>
          <w:rFonts w:ascii="Times New Roman" w:hAnsi="Times New Roman"/>
          <w:sz w:val="18"/>
          <w:szCs w:val="18"/>
          <w:lang w:val="en-US"/>
        </w:rPr>
        <w:t xml:space="preserve"> TeKolste, MD, </w:t>
      </w:r>
      <w:r w:rsidR="00B77230" w:rsidRPr="006B3634">
        <w:rPr>
          <w:rFonts w:ascii="Times New Roman" w:hAnsi="Times New Roman"/>
          <w:sz w:val="18"/>
          <w:szCs w:val="18"/>
          <w:lang w:val="en-US"/>
        </w:rPr>
        <w:t xml:space="preserve">UW </w:t>
      </w:r>
      <w:r w:rsidR="005B13F3" w:rsidRPr="006B3634">
        <w:rPr>
          <w:rFonts w:ascii="Times New Roman" w:hAnsi="Times New Roman"/>
          <w:sz w:val="18"/>
          <w:szCs w:val="18"/>
          <w:lang w:val="en-US"/>
        </w:rPr>
        <w:t xml:space="preserve">Medical Home Partnerships Project, Judy Ward, RN, </w:t>
      </w:r>
      <w:r w:rsidR="0000389F" w:rsidRPr="006B3634">
        <w:rPr>
          <w:rFonts w:ascii="Times New Roman" w:hAnsi="Times New Roman"/>
          <w:sz w:val="18"/>
          <w:szCs w:val="18"/>
          <w:lang w:val="en-US"/>
        </w:rPr>
        <w:t>Snohomish</w:t>
      </w:r>
      <w:r w:rsidR="005B13F3" w:rsidRPr="006B3634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00389F" w:rsidRPr="006B3634">
        <w:rPr>
          <w:rFonts w:ascii="Times New Roman" w:hAnsi="Times New Roman"/>
          <w:sz w:val="18"/>
          <w:szCs w:val="18"/>
          <w:lang w:val="en-US"/>
        </w:rPr>
        <w:t>Health</w:t>
      </w:r>
      <w:r w:rsidR="00B77230" w:rsidRPr="006B3634">
        <w:rPr>
          <w:rFonts w:ascii="Times New Roman" w:hAnsi="Times New Roman"/>
          <w:sz w:val="18"/>
          <w:szCs w:val="18"/>
          <w:lang w:val="en-US"/>
        </w:rPr>
        <w:t xml:space="preserve"> District</w:t>
      </w:r>
      <w:r w:rsidR="005B13F3" w:rsidRPr="006B3634">
        <w:rPr>
          <w:rFonts w:ascii="Times New Roman" w:hAnsi="Times New Roman"/>
          <w:sz w:val="18"/>
          <w:szCs w:val="18"/>
          <w:lang w:val="en-US"/>
        </w:rPr>
        <w:t xml:space="preserve">, and </w:t>
      </w:r>
      <w:r w:rsidR="00B77230" w:rsidRPr="006B3634">
        <w:rPr>
          <w:rFonts w:ascii="Times New Roman" w:hAnsi="Times New Roman"/>
          <w:sz w:val="18"/>
          <w:szCs w:val="18"/>
          <w:lang w:val="en-US"/>
        </w:rPr>
        <w:t xml:space="preserve">Joan </w:t>
      </w:r>
      <w:proofErr w:type="spellStart"/>
      <w:r w:rsidR="00B77230" w:rsidRPr="006B3634">
        <w:rPr>
          <w:rFonts w:ascii="Times New Roman" w:hAnsi="Times New Roman"/>
          <w:sz w:val="18"/>
          <w:szCs w:val="18"/>
          <w:lang w:val="en-US"/>
        </w:rPr>
        <w:t>Zerzan</w:t>
      </w:r>
      <w:proofErr w:type="spellEnd"/>
      <w:r w:rsidR="00B77230" w:rsidRPr="006B3634">
        <w:rPr>
          <w:rFonts w:ascii="Times New Roman" w:hAnsi="Times New Roman"/>
          <w:sz w:val="18"/>
          <w:szCs w:val="18"/>
          <w:lang w:val="en-US"/>
        </w:rPr>
        <w:t xml:space="preserve">, </w:t>
      </w:r>
      <w:r w:rsidR="00311B8D">
        <w:rPr>
          <w:rFonts w:ascii="Times New Roman" w:hAnsi="Times New Roman"/>
          <w:sz w:val="18"/>
          <w:szCs w:val="18"/>
          <w:lang w:val="en-US"/>
        </w:rPr>
        <w:t>MS</w:t>
      </w:r>
      <w:proofErr w:type="gramStart"/>
      <w:r w:rsidR="00311B8D">
        <w:rPr>
          <w:rFonts w:ascii="Times New Roman" w:hAnsi="Times New Roman"/>
          <w:sz w:val="18"/>
          <w:szCs w:val="18"/>
          <w:lang w:val="en-US"/>
        </w:rPr>
        <w:t>,</w:t>
      </w:r>
      <w:r w:rsidR="00B77230" w:rsidRPr="006B3634">
        <w:rPr>
          <w:rFonts w:ascii="Times New Roman" w:hAnsi="Times New Roman"/>
          <w:sz w:val="18"/>
          <w:szCs w:val="18"/>
          <w:lang w:val="en-US"/>
        </w:rPr>
        <w:t>RD</w:t>
      </w:r>
      <w:proofErr w:type="gramEnd"/>
      <w:r w:rsidR="00B77230" w:rsidRPr="006B3634">
        <w:rPr>
          <w:rFonts w:ascii="Times New Roman" w:hAnsi="Times New Roman"/>
          <w:sz w:val="18"/>
          <w:szCs w:val="18"/>
          <w:lang w:val="en-US"/>
        </w:rPr>
        <w:t>, DOH.</w:t>
      </w:r>
    </w:p>
    <w:p w:rsidR="00E20F9A" w:rsidRDefault="00E20F9A">
      <w:pPr>
        <w:pStyle w:val="BodyText2"/>
        <w:rPr>
          <w:sz w:val="12"/>
        </w:rPr>
      </w:pPr>
    </w:p>
    <w:tbl>
      <w:tblPr>
        <w:tblW w:w="11159" w:type="dxa"/>
        <w:tblLayout w:type="fixed"/>
        <w:tblLook w:val="0000" w:firstRow="0" w:lastRow="0" w:firstColumn="0" w:lastColumn="0" w:noHBand="0" w:noVBand="0"/>
      </w:tblPr>
      <w:tblGrid>
        <w:gridCol w:w="1860"/>
        <w:gridCol w:w="9299"/>
      </w:tblGrid>
      <w:tr w:rsidR="00E20F9A" w:rsidTr="00811AA7">
        <w:trPr>
          <w:cantSplit/>
          <w:trHeight w:val="3370"/>
        </w:trPr>
        <w:tc>
          <w:tcPr>
            <w:tcW w:w="1860" w:type="dxa"/>
            <w:tcBorders>
              <w:bottom w:val="nil"/>
            </w:tcBorders>
            <w:shd w:val="clear" w:color="auto" w:fill="FFF2CC" w:themeFill="accent4" w:themeFillTint="33"/>
          </w:tcPr>
          <w:p w:rsidR="00E20F9A" w:rsidRDefault="00E20F9A">
            <w:pPr>
              <w:jc w:val="center"/>
            </w:pPr>
          </w:p>
          <w:p w:rsidR="00E20F9A" w:rsidRDefault="00E20F9A">
            <w:pPr>
              <w:pStyle w:val="BlockText"/>
              <w:spacing w:before="0" w:after="120"/>
              <w:rPr>
                <w:i/>
                <w:iCs/>
                <w:noProof/>
                <w:sz w:val="17"/>
              </w:rPr>
            </w:pPr>
            <w:r>
              <w:object w:dxaOrig="7350" w:dyaOrig="12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65pt;height:134.25pt" o:ole="">
                  <v:imagedata r:id="rId8" o:title=""/>
                </v:shape>
                <o:OLEObject Type="Embed" ProgID="PBrush" ShapeID="_x0000_i1025" DrawAspect="Content" ObjectID="_1536994112" r:id="rId9"/>
              </w:object>
            </w:r>
          </w:p>
        </w:tc>
        <w:tc>
          <w:tcPr>
            <w:tcW w:w="9299" w:type="dxa"/>
          </w:tcPr>
          <w:p w:rsidR="00E20F9A" w:rsidRDefault="00E20F9A">
            <w:pPr>
              <w:pStyle w:val="Heading2"/>
            </w:pPr>
            <w:r>
              <w:t>Red Flags in Speech and Language Development</w:t>
            </w:r>
          </w:p>
          <w:p w:rsidR="008214A5" w:rsidRDefault="00E20F9A" w:rsidP="008214A5">
            <w:pPr>
              <w:pStyle w:val="Heading2"/>
              <w:rPr>
                <w:rFonts w:ascii="Times" w:hAnsi="Times"/>
                <w:smallCaps w:val="0"/>
                <w:sz w:val="20"/>
              </w:rPr>
            </w:pPr>
            <w:r>
              <w:rPr>
                <w:rFonts w:ascii="Times" w:hAnsi="Times"/>
                <w:smallCaps w:val="0"/>
                <w:sz w:val="20"/>
              </w:rPr>
              <w:t>Speech and language development begin long before a child utters the first recognizable word</w:t>
            </w:r>
            <w:r w:rsidRPr="009E45E6">
              <w:rPr>
                <w:rFonts w:ascii="Times" w:hAnsi="Times"/>
                <w:smallCaps w:val="0"/>
                <w:sz w:val="20"/>
              </w:rPr>
              <w:t>!</w:t>
            </w:r>
          </w:p>
          <w:p w:rsidR="008214A5" w:rsidRPr="00311B8D" w:rsidRDefault="004E6084" w:rsidP="004A6579">
            <w:pPr>
              <w:pStyle w:val="Heading2"/>
              <w:spacing w:before="0" w:after="0"/>
              <w:jc w:val="left"/>
              <w:rPr>
                <w:rFonts w:ascii="Times New Roman" w:hAnsi="Times New Roman"/>
                <w:b w:val="0"/>
                <w:smallCaps w:val="0"/>
                <w:sz w:val="20"/>
              </w:rPr>
            </w:pPr>
            <w:r w:rsidRPr="00311B8D">
              <w:rPr>
                <w:rFonts w:ascii="Times New Roman" w:hAnsi="Times New Roman"/>
                <w:b w:val="0"/>
                <w:smallCaps w:val="0"/>
                <w:sz w:val="20"/>
              </w:rPr>
              <w:t xml:space="preserve">Even before </w:t>
            </w:r>
            <w:r w:rsidR="00E20F9A" w:rsidRPr="00311B8D">
              <w:rPr>
                <w:rFonts w:ascii="Times New Roman" w:hAnsi="Times New Roman"/>
                <w:b w:val="0"/>
                <w:smallCaps w:val="0"/>
                <w:sz w:val="20"/>
              </w:rPr>
              <w:t xml:space="preserve">birth, a child is listening to speech sounds and attaining the prelinguistic communication skills on which future language development will depend.  </w:t>
            </w:r>
            <w:r w:rsidR="00645CEF" w:rsidRPr="00311B8D">
              <w:rPr>
                <w:rFonts w:ascii="Times New Roman" w:hAnsi="Times New Roman"/>
                <w:b w:val="0"/>
                <w:smallCaps w:val="0"/>
                <w:sz w:val="20"/>
              </w:rPr>
              <w:t xml:space="preserve">Early exposure to language through </w:t>
            </w:r>
            <w:r w:rsidR="009541C3" w:rsidRPr="00311B8D">
              <w:rPr>
                <w:rFonts w:ascii="Times New Roman" w:hAnsi="Times New Roman"/>
                <w:b w:val="0"/>
                <w:smallCaps w:val="0"/>
                <w:sz w:val="20"/>
              </w:rPr>
              <w:t xml:space="preserve">face-to-face </w:t>
            </w:r>
            <w:r w:rsidR="00645CEF" w:rsidRPr="00311B8D">
              <w:rPr>
                <w:rFonts w:ascii="Times New Roman" w:hAnsi="Times New Roman"/>
                <w:b w:val="0"/>
                <w:smallCaps w:val="0"/>
                <w:sz w:val="20"/>
              </w:rPr>
              <w:t xml:space="preserve">conversation and books sets the stage for speech and language acquisition. The timely attainment of communication, speech, and language milestones sets the foundation for a child’s subsequent academic and social success.  </w:t>
            </w:r>
          </w:p>
          <w:p w:rsidR="00E20F9A" w:rsidRDefault="00E20F9A" w:rsidP="004A6579">
            <w:pPr>
              <w:pStyle w:val="Heading2"/>
              <w:spacing w:before="120" w:after="0"/>
              <w:jc w:val="left"/>
              <w:rPr>
                <w:rFonts w:ascii="Times" w:hAnsi="Times"/>
                <w:smallCaps w:val="0"/>
                <w:sz w:val="20"/>
              </w:rPr>
            </w:pPr>
            <w:r>
              <w:rPr>
                <w:rFonts w:ascii="Times" w:hAnsi="Times"/>
                <w:smallCaps w:val="0"/>
                <w:sz w:val="20"/>
              </w:rPr>
              <w:t>Speech and language delays:</w:t>
            </w:r>
          </w:p>
          <w:p w:rsidR="00E20F9A" w:rsidRPr="00311B8D" w:rsidRDefault="00936AF1" w:rsidP="008214A5">
            <w:pPr>
              <w:numPr>
                <w:ilvl w:val="0"/>
                <w:numId w:val="24"/>
              </w:numPr>
              <w:rPr>
                <w:rFonts w:ascii="Times New Roman" w:hAnsi="Times New Roman"/>
                <w:sz w:val="20"/>
              </w:rPr>
            </w:pPr>
            <w:r w:rsidRPr="00311B8D">
              <w:rPr>
                <w:rFonts w:ascii="Times New Roman" w:hAnsi="Times New Roman"/>
                <w:sz w:val="20"/>
              </w:rPr>
              <w:t>C</w:t>
            </w:r>
            <w:r w:rsidR="00E20F9A" w:rsidRPr="00311B8D">
              <w:rPr>
                <w:rFonts w:ascii="Times New Roman" w:hAnsi="Times New Roman"/>
                <w:sz w:val="20"/>
              </w:rPr>
              <w:t>an be identified early, even though findings are subtle in the first two years of life</w:t>
            </w:r>
          </w:p>
          <w:p w:rsidR="00CD2678" w:rsidRPr="00311B8D" w:rsidRDefault="00CD2678" w:rsidP="00CD2678">
            <w:pPr>
              <w:numPr>
                <w:ilvl w:val="0"/>
                <w:numId w:val="24"/>
              </w:numPr>
              <w:rPr>
                <w:rFonts w:ascii="Times New Roman" w:hAnsi="Times New Roman"/>
                <w:sz w:val="20"/>
              </w:rPr>
            </w:pPr>
            <w:r w:rsidRPr="00311B8D">
              <w:rPr>
                <w:rFonts w:ascii="Times New Roman" w:hAnsi="Times New Roman"/>
                <w:sz w:val="20"/>
              </w:rPr>
              <w:t xml:space="preserve">Do not generally self-resolve, especially when associated with other disabilities </w:t>
            </w:r>
          </w:p>
          <w:p w:rsidR="00CD2678" w:rsidRPr="00311B8D" w:rsidRDefault="00CD2678" w:rsidP="00CD2678">
            <w:pPr>
              <w:numPr>
                <w:ilvl w:val="0"/>
                <w:numId w:val="24"/>
              </w:numPr>
              <w:rPr>
                <w:rFonts w:ascii="Times New Roman" w:hAnsi="Times New Roman"/>
                <w:sz w:val="20"/>
              </w:rPr>
            </w:pPr>
            <w:r w:rsidRPr="00311B8D">
              <w:rPr>
                <w:rFonts w:ascii="Times New Roman" w:hAnsi="Times New Roman"/>
                <w:sz w:val="20"/>
              </w:rPr>
              <w:t xml:space="preserve">Are associated with increased incidence of learning disabilities, especially in reading and writing  </w:t>
            </w:r>
          </w:p>
          <w:p w:rsidR="00CD2678" w:rsidRPr="00311B8D" w:rsidRDefault="00CD2678" w:rsidP="00CD2678">
            <w:pPr>
              <w:pStyle w:val="Body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noProof w:val="0"/>
              </w:rPr>
            </w:pPr>
            <w:r w:rsidRPr="00311B8D">
              <w:rPr>
                <w:rFonts w:ascii="Times New Roman" w:hAnsi="Times New Roman"/>
              </w:rPr>
              <w:t xml:space="preserve">Can impact behavior and the ability to form peer relationships </w:t>
            </w:r>
          </w:p>
          <w:p w:rsidR="00CD2678" w:rsidRPr="00311B8D" w:rsidRDefault="00CD2678" w:rsidP="00CD2678">
            <w:pPr>
              <w:pStyle w:val="Body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/>
                <w:noProof w:val="0"/>
              </w:rPr>
            </w:pPr>
            <w:r w:rsidRPr="00311B8D">
              <w:rPr>
                <w:rFonts w:ascii="Times New Roman" w:hAnsi="Times New Roman"/>
              </w:rPr>
              <w:t>May be the first sign of hearing loss in infants, or autism spectrum disorder in toddlers</w:t>
            </w:r>
          </w:p>
          <w:p w:rsidR="00B434AF" w:rsidRPr="00CD2678" w:rsidRDefault="00CD2678" w:rsidP="00CD2678">
            <w:pPr>
              <w:numPr>
                <w:ilvl w:val="0"/>
                <w:numId w:val="24"/>
              </w:numPr>
              <w:rPr>
                <w:sz w:val="20"/>
              </w:rPr>
            </w:pPr>
            <w:r w:rsidRPr="00311B8D">
              <w:rPr>
                <w:rFonts w:ascii="Times New Roman" w:hAnsi="Times New Roman"/>
                <w:noProof/>
                <w:sz w:val="20"/>
              </w:rPr>
              <w:t>May be associated with oral motor problems that can impact feeding and may benefit from consulation with a feeding team</w:t>
            </w:r>
          </w:p>
        </w:tc>
      </w:tr>
    </w:tbl>
    <w:p w:rsidR="00645CEF" w:rsidRPr="00F441CE" w:rsidRDefault="00645CEF" w:rsidP="00645CEF">
      <w:pPr>
        <w:pStyle w:val="Heading3"/>
        <w:jc w:val="left"/>
        <w:rPr>
          <w:rFonts w:ascii="Times New Roman" w:hAnsi="Times New Roman"/>
          <w:smallCaps w:val="0"/>
          <w:sz w:val="20"/>
        </w:rPr>
      </w:pPr>
      <w:r w:rsidRPr="00F441CE">
        <w:rPr>
          <w:rFonts w:ascii="Times New Roman" w:hAnsi="Times New Roman"/>
          <w:b w:val="0"/>
          <w:smallCaps w:val="0"/>
          <w:sz w:val="20"/>
        </w:rPr>
        <w:t>In unfamiliar settings (</w:t>
      </w:r>
      <w:r w:rsidR="00A95400" w:rsidRPr="00F441CE">
        <w:rPr>
          <w:rFonts w:ascii="Times New Roman" w:hAnsi="Times New Roman"/>
          <w:b w:val="0"/>
          <w:smallCaps w:val="0"/>
          <w:sz w:val="20"/>
        </w:rPr>
        <w:t>or Primary Care Clinic</w:t>
      </w:r>
      <w:r w:rsidRPr="00F441CE">
        <w:rPr>
          <w:rFonts w:ascii="Times New Roman" w:hAnsi="Times New Roman"/>
          <w:b w:val="0"/>
          <w:smallCaps w:val="0"/>
          <w:sz w:val="20"/>
        </w:rPr>
        <w:t>), children may not fully displ</w:t>
      </w:r>
      <w:r w:rsidR="004A6579" w:rsidRPr="00F441CE">
        <w:rPr>
          <w:rFonts w:ascii="Times New Roman" w:hAnsi="Times New Roman"/>
          <w:b w:val="0"/>
          <w:smallCaps w:val="0"/>
          <w:sz w:val="20"/>
        </w:rPr>
        <w:t>ay their communication skills. When concerns are present, p</w:t>
      </w:r>
      <w:r w:rsidRPr="00F441CE">
        <w:rPr>
          <w:rFonts w:ascii="Times New Roman" w:hAnsi="Times New Roman"/>
          <w:b w:val="0"/>
          <w:smallCaps w:val="0"/>
          <w:sz w:val="20"/>
        </w:rPr>
        <w:t>arent report should be used to supplement observations.  If English is not the prima</w:t>
      </w:r>
      <w:r w:rsidR="008F1951" w:rsidRPr="00F441CE">
        <w:rPr>
          <w:rFonts w:ascii="Times New Roman" w:hAnsi="Times New Roman"/>
          <w:b w:val="0"/>
          <w:smallCaps w:val="0"/>
          <w:sz w:val="20"/>
        </w:rPr>
        <w:t>ry language used at hom</w:t>
      </w:r>
      <w:r w:rsidRPr="00F441CE">
        <w:rPr>
          <w:rFonts w:ascii="Times New Roman" w:hAnsi="Times New Roman"/>
          <w:b w:val="0"/>
          <w:smallCaps w:val="0"/>
          <w:sz w:val="20"/>
        </w:rPr>
        <w:t>e, parents should be asked to report on their child’s communication in his/her stronger language.</w:t>
      </w:r>
      <w:r w:rsidR="009541C3" w:rsidRPr="00F441CE">
        <w:rPr>
          <w:rFonts w:ascii="Times New Roman" w:hAnsi="Times New Roman"/>
          <w:b w:val="0"/>
          <w:smallCaps w:val="0"/>
          <w:sz w:val="20"/>
        </w:rPr>
        <w:t xml:space="preserve"> </w:t>
      </w:r>
      <w:r w:rsidR="009541C3" w:rsidRPr="00F441CE">
        <w:rPr>
          <w:rFonts w:ascii="Times New Roman" w:hAnsi="Times New Roman"/>
          <w:smallCaps w:val="0"/>
          <w:sz w:val="20"/>
        </w:rPr>
        <w:t xml:space="preserve"> </w:t>
      </w:r>
    </w:p>
    <w:p w:rsidR="00645CEF" w:rsidRDefault="009F184D" w:rsidP="00182F3C">
      <w:pPr>
        <w:numPr>
          <w:ilvl w:val="0"/>
          <w:numId w:val="4"/>
        </w:numPr>
        <w:tabs>
          <w:tab w:val="num" w:pos="720"/>
        </w:tabs>
        <w:ind w:left="720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b/>
          <w:noProof/>
          <w:sz w:val="20"/>
        </w:rPr>
        <w:t xml:space="preserve">IF </w:t>
      </w:r>
      <w:r>
        <w:rPr>
          <w:rFonts w:ascii="Times New Roman" w:hAnsi="Times New Roman"/>
          <w:noProof/>
          <w:sz w:val="20"/>
        </w:rPr>
        <w:t>o</w:t>
      </w:r>
      <w:r w:rsidR="00FF13ED" w:rsidRPr="00936AF1">
        <w:rPr>
          <w:rFonts w:ascii="Times New Roman" w:hAnsi="Times New Roman"/>
          <w:noProof/>
          <w:sz w:val="20"/>
        </w:rPr>
        <w:t>n</w:t>
      </w:r>
      <w:r w:rsidR="00645CEF">
        <w:rPr>
          <w:rFonts w:ascii="Times New Roman" w:hAnsi="Times New Roman"/>
          <w:noProof/>
          <w:sz w:val="20"/>
        </w:rPr>
        <w:t>e or more red flags are present</w:t>
      </w:r>
      <w:r w:rsidR="008F1951">
        <w:rPr>
          <w:rFonts w:ascii="Times New Roman" w:hAnsi="Times New Roman"/>
          <w:noProof/>
          <w:sz w:val="20"/>
        </w:rPr>
        <w:t xml:space="preserve">, or a parent expresses concern, </w:t>
      </w:r>
      <w:r w:rsidR="00FF13ED" w:rsidRPr="00936AF1">
        <w:rPr>
          <w:rFonts w:ascii="Times New Roman" w:hAnsi="Times New Roman"/>
          <w:noProof/>
          <w:sz w:val="20"/>
        </w:rPr>
        <w:t>further speech/languag</w:t>
      </w:r>
      <w:r w:rsidR="00645CEF">
        <w:rPr>
          <w:rFonts w:ascii="Times New Roman" w:hAnsi="Times New Roman"/>
          <w:noProof/>
          <w:sz w:val="20"/>
        </w:rPr>
        <w:t>e assessment may be indicated.</w:t>
      </w:r>
    </w:p>
    <w:p w:rsidR="00182F3C" w:rsidRDefault="009F184D" w:rsidP="00182F3C">
      <w:pPr>
        <w:numPr>
          <w:ilvl w:val="0"/>
          <w:numId w:val="4"/>
        </w:numPr>
        <w:tabs>
          <w:tab w:val="num" w:pos="720"/>
        </w:tabs>
        <w:ind w:left="720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b/>
          <w:noProof/>
          <w:sz w:val="20"/>
        </w:rPr>
        <w:t xml:space="preserve">IF </w:t>
      </w:r>
      <w:r>
        <w:rPr>
          <w:rFonts w:ascii="Times New Roman" w:hAnsi="Times New Roman"/>
          <w:noProof/>
          <w:sz w:val="20"/>
        </w:rPr>
        <w:t>h</w:t>
      </w:r>
      <w:r w:rsidR="00FF13ED" w:rsidRPr="00645CEF">
        <w:rPr>
          <w:rFonts w:ascii="Times New Roman" w:hAnsi="Times New Roman"/>
          <w:noProof/>
          <w:sz w:val="20"/>
        </w:rPr>
        <w:t>earing loss is</w:t>
      </w:r>
      <w:r w:rsidR="00645CEF">
        <w:rPr>
          <w:rFonts w:ascii="Times New Roman" w:hAnsi="Times New Roman"/>
          <w:noProof/>
          <w:sz w:val="20"/>
        </w:rPr>
        <w:t xml:space="preserve"> suspected at any age – </w:t>
      </w:r>
      <w:r w:rsidR="00FF13ED" w:rsidRPr="00645CEF">
        <w:rPr>
          <w:rFonts w:ascii="Times New Roman" w:hAnsi="Times New Roman"/>
          <w:noProof/>
          <w:sz w:val="20"/>
        </w:rPr>
        <w:t xml:space="preserve"> a complete audiological examination</w:t>
      </w:r>
      <w:r w:rsidR="00645CEF">
        <w:rPr>
          <w:rFonts w:ascii="Times New Roman" w:hAnsi="Times New Roman"/>
          <w:noProof/>
          <w:sz w:val="20"/>
        </w:rPr>
        <w:t xml:space="preserve"> is indicated</w:t>
      </w:r>
      <w:r w:rsidR="00FF13ED" w:rsidRPr="00645CEF">
        <w:rPr>
          <w:rFonts w:ascii="Times New Roman" w:hAnsi="Times New Roman"/>
          <w:noProof/>
          <w:sz w:val="20"/>
        </w:rPr>
        <w:t>.</w:t>
      </w:r>
    </w:p>
    <w:p w:rsidR="00182F3C" w:rsidRDefault="00182F3C" w:rsidP="00CD2678">
      <w:pPr>
        <w:rPr>
          <w:rFonts w:ascii="Times New Roman" w:hAnsi="Times New Roman"/>
          <w:noProof/>
          <w:sz w:val="20"/>
        </w:rPr>
      </w:pPr>
    </w:p>
    <w:p w:rsidR="00182F3C" w:rsidRPr="00F441CE" w:rsidRDefault="00182F3C" w:rsidP="00182F3C">
      <w:pPr>
        <w:rPr>
          <w:rFonts w:ascii="Times New Roman" w:hAnsi="Times New Roman"/>
          <w:b/>
          <w:bCs/>
          <w:sz w:val="20"/>
        </w:rPr>
      </w:pPr>
      <w:r w:rsidRPr="00F441CE">
        <w:rPr>
          <w:rFonts w:ascii="Times New Roman" w:hAnsi="Times New Roman"/>
          <w:b/>
          <w:bCs/>
          <w:sz w:val="20"/>
        </w:rPr>
        <w:t xml:space="preserve">Early Intervention </w:t>
      </w:r>
      <w:r w:rsidRPr="00F441CE">
        <w:rPr>
          <w:rFonts w:ascii="Times New Roman" w:hAnsi="Times New Roman"/>
          <w:sz w:val="20"/>
        </w:rPr>
        <w:t>for speech and language delays:</w:t>
      </w:r>
      <w:r w:rsidRPr="00F441CE">
        <w:rPr>
          <w:rFonts w:ascii="Times New Roman" w:hAnsi="Times New Roman"/>
          <w:b/>
          <w:bCs/>
          <w:sz w:val="20"/>
        </w:rPr>
        <w:t xml:space="preserve"> </w:t>
      </w:r>
    </w:p>
    <w:p w:rsidR="00182F3C" w:rsidRPr="00F441CE" w:rsidRDefault="00182F3C" w:rsidP="00182F3C">
      <w:pPr>
        <w:numPr>
          <w:ilvl w:val="0"/>
          <w:numId w:val="18"/>
        </w:numPr>
        <w:rPr>
          <w:rFonts w:ascii="Times New Roman" w:hAnsi="Times New Roman"/>
          <w:sz w:val="20"/>
        </w:rPr>
      </w:pPr>
      <w:r w:rsidRPr="00F441CE">
        <w:rPr>
          <w:rFonts w:ascii="Times New Roman" w:hAnsi="Times New Roman"/>
          <w:sz w:val="20"/>
        </w:rPr>
        <w:t>Assists a child in attaining communication, social and academic milestones through individual and peer-group therapy, and by teaching parents to provide enriched communication opportunities</w:t>
      </w:r>
    </w:p>
    <w:p w:rsidR="00182F3C" w:rsidRPr="00F441CE" w:rsidRDefault="00182F3C" w:rsidP="00311B8D">
      <w:pPr>
        <w:pStyle w:val="ListParagraph"/>
        <w:numPr>
          <w:ilvl w:val="0"/>
          <w:numId w:val="18"/>
        </w:numPr>
        <w:spacing w:after="120"/>
        <w:rPr>
          <w:rFonts w:ascii="Times New Roman" w:hAnsi="Times New Roman"/>
          <w:sz w:val="20"/>
        </w:rPr>
      </w:pPr>
      <w:r w:rsidRPr="00F441CE">
        <w:rPr>
          <w:rFonts w:ascii="Times New Roman" w:hAnsi="Times New Roman"/>
          <w:sz w:val="20"/>
        </w:rPr>
        <w:t>Ensures that caregivers and teachers set reasonable communication expectations to prevent a child’s frustration from turning into behavior problems or low self-esteem</w:t>
      </w:r>
    </w:p>
    <w:p w:rsidR="002419A0" w:rsidRDefault="002419A0" w:rsidP="002419A0">
      <w:pPr>
        <w:rPr>
          <w:rFonts w:ascii="Arial" w:eastAsia="Times New Roman" w:hAnsi="Arial"/>
          <w:vanish/>
          <w:sz w:val="18"/>
        </w:rPr>
      </w:pPr>
    </w:p>
    <w:tbl>
      <w:tblPr>
        <w:tblStyle w:val="TableGrid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5305"/>
        <w:gridCol w:w="5485"/>
      </w:tblGrid>
      <w:tr w:rsidR="00BA4DCA" w:rsidTr="000C37DE">
        <w:tc>
          <w:tcPr>
            <w:tcW w:w="10790" w:type="dxa"/>
            <w:gridSpan w:val="2"/>
            <w:shd w:val="clear" w:color="auto" w:fill="E2EFD9" w:themeFill="accent6" w:themeFillTint="33"/>
          </w:tcPr>
          <w:p w:rsidR="00BA4DCA" w:rsidRPr="00311B8D" w:rsidRDefault="00BA4DCA" w:rsidP="00811AA7">
            <w:pPr>
              <w:pStyle w:val="Heading3"/>
              <w:shd w:val="clear" w:color="auto" w:fill="E2EFD9" w:themeFill="accent6" w:themeFillTint="33"/>
              <w:spacing w:before="0" w:after="0"/>
              <w:outlineLvl w:val="2"/>
              <w:rPr>
                <w:rFonts w:ascii="Arial" w:hAnsi="Arial" w:cs="Arial"/>
              </w:rPr>
            </w:pPr>
            <w:r w:rsidRPr="00311B8D">
              <w:rPr>
                <w:rFonts w:ascii="Arial" w:hAnsi="Arial" w:cs="Arial"/>
              </w:rPr>
              <w:t>red flags in speech/language development</w:t>
            </w:r>
          </w:p>
          <w:p w:rsidR="00BA4DCA" w:rsidRDefault="00BA4DCA" w:rsidP="00811AA7">
            <w:pPr>
              <w:pStyle w:val="Heading3"/>
              <w:shd w:val="clear" w:color="auto" w:fill="E2EFD9" w:themeFill="accent6" w:themeFillTint="33"/>
              <w:spacing w:before="0" w:after="0"/>
              <w:outlineLvl w:val="2"/>
            </w:pPr>
            <w:r w:rsidRPr="00311B8D">
              <w:rPr>
                <w:rFonts w:ascii="Arial" w:hAnsi="Arial" w:cs="Arial"/>
                <w:b w:val="0"/>
                <w:bCs/>
                <w:i/>
                <w:iCs/>
                <w:sz w:val="20"/>
              </w:rPr>
              <w:t>*</w:t>
            </w:r>
            <w:r w:rsidRPr="00311B8D">
              <w:rPr>
                <w:rFonts w:ascii="Arial" w:hAnsi="Arial" w:cs="Arial"/>
                <w:i/>
                <w:iCs/>
                <w:sz w:val="20"/>
              </w:rPr>
              <w:t>Signs of possible autism spectrum disorder</w:t>
            </w:r>
          </w:p>
        </w:tc>
      </w:tr>
      <w:tr w:rsidR="00BA4DCA" w:rsidTr="000C37DE">
        <w:tc>
          <w:tcPr>
            <w:tcW w:w="10790" w:type="dxa"/>
            <w:gridSpan w:val="2"/>
            <w:tcBorders>
              <w:bottom w:val="nil"/>
            </w:tcBorders>
            <w:shd w:val="clear" w:color="auto" w:fill="E2EFD9" w:themeFill="accent6" w:themeFillTint="33"/>
          </w:tcPr>
          <w:p w:rsidR="00BA4DCA" w:rsidRPr="000D3CA4" w:rsidRDefault="00BA4DCA" w:rsidP="00811AA7">
            <w:pPr>
              <w:pStyle w:val="Body"/>
              <w:shd w:val="clear" w:color="auto" w:fill="E2EFD9" w:themeFill="accent6" w:themeFillTint="33"/>
              <w:spacing w:line="240" w:lineRule="auto"/>
              <w:ind w:left="334" w:hanging="334"/>
              <w:rPr>
                <w:rFonts w:ascii="Times New Roman" w:hAnsi="Times New Roman"/>
                <w:b/>
                <w:bCs/>
                <w:u w:val="single"/>
              </w:rPr>
            </w:pPr>
            <w:r w:rsidRPr="000D3CA4">
              <w:rPr>
                <w:rFonts w:ascii="Times New Roman" w:hAnsi="Times New Roman"/>
                <w:b/>
                <w:bCs/>
                <w:u w:val="single"/>
              </w:rPr>
              <w:t>0-6 months</w:t>
            </w:r>
          </w:p>
        </w:tc>
      </w:tr>
      <w:tr w:rsidR="00BA4DCA" w:rsidTr="000C37DE">
        <w:tc>
          <w:tcPr>
            <w:tcW w:w="5305" w:type="dxa"/>
            <w:tcBorders>
              <w:top w:val="nil"/>
              <w:right w:val="nil"/>
            </w:tcBorders>
            <w:shd w:val="clear" w:color="auto" w:fill="E2EFD9" w:themeFill="accent6" w:themeFillTint="33"/>
          </w:tcPr>
          <w:p w:rsidR="00BA4DCA" w:rsidRPr="000D3CA4" w:rsidRDefault="00BA4DCA" w:rsidP="00811AA7">
            <w:pPr>
              <w:pStyle w:val="flag"/>
              <w:numPr>
                <w:ilvl w:val="0"/>
                <w:numId w:val="27"/>
              </w:numPr>
              <w:shd w:val="clear" w:color="auto" w:fill="E2EFD9" w:themeFill="accent6" w:themeFillTint="33"/>
              <w:spacing w:after="0"/>
            </w:pPr>
            <w:r w:rsidRPr="000D3CA4">
              <w:t>Fails a newborn hearing screening</w:t>
            </w:r>
          </w:p>
          <w:p w:rsidR="00BA4DCA" w:rsidRPr="000D3CA4" w:rsidRDefault="00BA4DCA" w:rsidP="00811AA7">
            <w:pPr>
              <w:pStyle w:val="flag"/>
              <w:numPr>
                <w:ilvl w:val="0"/>
                <w:numId w:val="27"/>
              </w:numPr>
              <w:shd w:val="clear" w:color="auto" w:fill="E2EFD9" w:themeFill="accent6" w:themeFillTint="33"/>
              <w:spacing w:after="0"/>
            </w:pPr>
            <w:r w:rsidRPr="000D3CA4">
              <w:t>Identified neuro-developmental delay or disorder</w:t>
            </w:r>
          </w:p>
          <w:p w:rsidR="00BA4DCA" w:rsidRPr="000D3CA4" w:rsidRDefault="00BA4DCA" w:rsidP="00811AA7">
            <w:pPr>
              <w:pStyle w:val="ListParagraph"/>
              <w:numPr>
                <w:ilvl w:val="0"/>
                <w:numId w:val="27"/>
              </w:numPr>
              <w:shd w:val="clear" w:color="auto" w:fill="E2EFD9" w:themeFill="accent6" w:themeFillTint="33"/>
              <w:rPr>
                <w:rFonts w:ascii="Times New Roman" w:hAnsi="Times New Roman"/>
                <w:noProof/>
                <w:sz w:val="22"/>
              </w:rPr>
            </w:pPr>
            <w:r w:rsidRPr="000D3CA4">
              <w:rPr>
                <w:rFonts w:ascii="Times New Roman" w:hAnsi="Times New Roman"/>
                <w:noProof/>
                <w:sz w:val="22"/>
              </w:rPr>
              <w:t>Does not startle to or awaken to loud sounds</w:t>
            </w:r>
          </w:p>
        </w:tc>
        <w:tc>
          <w:tcPr>
            <w:tcW w:w="5485" w:type="dxa"/>
            <w:tcBorders>
              <w:top w:val="nil"/>
              <w:left w:val="nil"/>
            </w:tcBorders>
            <w:shd w:val="clear" w:color="auto" w:fill="E2EFD9" w:themeFill="accent6" w:themeFillTint="33"/>
          </w:tcPr>
          <w:p w:rsidR="00BA4DCA" w:rsidRPr="000D3CA4" w:rsidRDefault="00BA4DCA" w:rsidP="00811AA7">
            <w:pPr>
              <w:pStyle w:val="flag"/>
              <w:numPr>
                <w:ilvl w:val="0"/>
                <w:numId w:val="27"/>
              </w:numPr>
              <w:shd w:val="clear" w:color="auto" w:fill="E2EFD9" w:themeFill="accent6" w:themeFillTint="33"/>
              <w:spacing w:after="0"/>
            </w:pPr>
            <w:r w:rsidRPr="000D3CA4">
              <w:t>Does not respond to changes in tone of voice</w:t>
            </w:r>
          </w:p>
          <w:p w:rsidR="00BA4DCA" w:rsidRDefault="00BA4DCA" w:rsidP="00811AA7">
            <w:pPr>
              <w:pStyle w:val="Body"/>
              <w:numPr>
                <w:ilvl w:val="0"/>
                <w:numId w:val="27"/>
              </w:numPr>
              <w:shd w:val="clear" w:color="auto" w:fill="E2EFD9" w:themeFill="accent6" w:themeFillTint="33"/>
              <w:spacing w:line="240" w:lineRule="auto"/>
              <w:rPr>
                <w:rFonts w:ascii="Times New Roman" w:hAnsi="Times New Roman"/>
              </w:rPr>
            </w:pPr>
            <w:r w:rsidRPr="000D3CA4">
              <w:rPr>
                <w:rFonts w:ascii="Times New Roman" w:hAnsi="Times New Roman"/>
              </w:rPr>
              <w:t>Does not smile or interact with others</w:t>
            </w:r>
          </w:p>
          <w:p w:rsidR="00811AA7" w:rsidRPr="000D3CA4" w:rsidRDefault="00811AA7" w:rsidP="00811AA7">
            <w:pPr>
              <w:pStyle w:val="Body"/>
              <w:shd w:val="clear" w:color="auto" w:fill="E2EFD9" w:themeFill="accent6" w:themeFillTint="33"/>
              <w:spacing w:line="240" w:lineRule="auto"/>
              <w:rPr>
                <w:rFonts w:ascii="Times New Roman" w:hAnsi="Times New Roman"/>
              </w:rPr>
            </w:pPr>
          </w:p>
        </w:tc>
      </w:tr>
      <w:tr w:rsidR="00CD2678" w:rsidTr="000C37DE">
        <w:tc>
          <w:tcPr>
            <w:tcW w:w="10790" w:type="dxa"/>
            <w:gridSpan w:val="2"/>
            <w:shd w:val="clear" w:color="auto" w:fill="E2EFD9" w:themeFill="accent6" w:themeFillTint="33"/>
          </w:tcPr>
          <w:p w:rsidR="00CD2678" w:rsidRPr="000D3CA4" w:rsidRDefault="00CD2678" w:rsidP="00811AA7">
            <w:pPr>
              <w:pStyle w:val="Body"/>
              <w:shd w:val="clear" w:color="auto" w:fill="E2EFD9" w:themeFill="accent6" w:themeFillTint="33"/>
              <w:spacing w:line="240" w:lineRule="auto"/>
              <w:ind w:left="334" w:hanging="334"/>
              <w:rPr>
                <w:rFonts w:ascii="Times New Roman" w:hAnsi="Times New Roman"/>
                <w:b/>
                <w:bCs/>
                <w:u w:val="single"/>
              </w:rPr>
            </w:pPr>
            <w:r w:rsidRPr="000D3CA4">
              <w:rPr>
                <w:rFonts w:ascii="Times New Roman" w:hAnsi="Times New Roman"/>
                <w:b/>
                <w:bCs/>
                <w:u w:val="single"/>
              </w:rPr>
              <w:t>9 months</w:t>
            </w:r>
          </w:p>
          <w:p w:rsidR="00CD2678" w:rsidRPr="000D3CA4" w:rsidRDefault="00CD2678" w:rsidP="00811AA7">
            <w:pPr>
              <w:pStyle w:val="Body"/>
              <w:numPr>
                <w:ilvl w:val="0"/>
                <w:numId w:val="28"/>
              </w:numPr>
              <w:shd w:val="clear" w:color="auto" w:fill="E2EFD9" w:themeFill="accent6" w:themeFillTint="33"/>
              <w:spacing w:line="240" w:lineRule="auto"/>
              <w:rPr>
                <w:rFonts w:ascii="Times New Roman" w:hAnsi="Times New Roman"/>
              </w:rPr>
            </w:pPr>
            <w:r w:rsidRPr="000D3CA4">
              <w:rPr>
                <w:rFonts w:ascii="Times New Roman" w:hAnsi="Times New Roman"/>
                <w:spacing w:val="-4"/>
                <w:kern w:val="2"/>
              </w:rPr>
              <w:t xml:space="preserve">Is still making only vowel sounds, with no speech-like consonants (e.g.  “aaa” instead </w:t>
            </w:r>
            <w:r w:rsidR="00311B8D">
              <w:rPr>
                <w:rFonts w:ascii="Times New Roman" w:hAnsi="Times New Roman"/>
                <w:spacing w:val="-4"/>
                <w:kern w:val="2"/>
              </w:rPr>
              <w:t>of an occasional “mmm” or “bah”</w:t>
            </w:r>
            <w:r w:rsidRPr="000D3CA4">
              <w:rPr>
                <w:rFonts w:ascii="Times New Roman" w:hAnsi="Times New Roman"/>
                <w:spacing w:val="-4"/>
                <w:kern w:val="2"/>
              </w:rPr>
              <w:t>)</w:t>
            </w:r>
          </w:p>
        </w:tc>
      </w:tr>
      <w:tr w:rsidR="00CD2678" w:rsidTr="000C37DE">
        <w:tc>
          <w:tcPr>
            <w:tcW w:w="10790" w:type="dxa"/>
            <w:gridSpan w:val="2"/>
            <w:tcBorders>
              <w:bottom w:val="nil"/>
            </w:tcBorders>
            <w:shd w:val="clear" w:color="auto" w:fill="E2EFD9" w:themeFill="accent6" w:themeFillTint="33"/>
          </w:tcPr>
          <w:p w:rsidR="00CD2678" w:rsidRPr="000D3CA4" w:rsidRDefault="00CD2678" w:rsidP="00811AA7">
            <w:pPr>
              <w:pStyle w:val="Body"/>
              <w:shd w:val="clear" w:color="auto" w:fill="E2EFD9" w:themeFill="accent6" w:themeFillTint="33"/>
              <w:spacing w:line="240" w:lineRule="auto"/>
              <w:ind w:left="135" w:hanging="135"/>
              <w:rPr>
                <w:rFonts w:ascii="Times New Roman" w:hAnsi="Times New Roman"/>
                <w:b/>
                <w:bCs/>
                <w:u w:val="single"/>
              </w:rPr>
            </w:pPr>
            <w:r w:rsidRPr="000D3CA4">
              <w:rPr>
                <w:rFonts w:ascii="Times New Roman" w:hAnsi="Times New Roman"/>
                <w:b/>
                <w:bCs/>
                <w:u w:val="single"/>
              </w:rPr>
              <w:t>12 months</w:t>
            </w:r>
          </w:p>
        </w:tc>
      </w:tr>
      <w:tr w:rsidR="00BA4DCA" w:rsidTr="000C37DE">
        <w:tc>
          <w:tcPr>
            <w:tcW w:w="5305" w:type="dxa"/>
            <w:tcBorders>
              <w:top w:val="nil"/>
              <w:right w:val="nil"/>
            </w:tcBorders>
            <w:shd w:val="clear" w:color="auto" w:fill="E2EFD9" w:themeFill="accent6" w:themeFillTint="33"/>
          </w:tcPr>
          <w:p w:rsidR="00CD2678" w:rsidRPr="000D3CA4" w:rsidRDefault="00CD2678" w:rsidP="00811AA7">
            <w:pPr>
              <w:pStyle w:val="flag"/>
              <w:numPr>
                <w:ilvl w:val="0"/>
                <w:numId w:val="28"/>
              </w:numPr>
              <w:shd w:val="clear" w:color="auto" w:fill="E2EFD9" w:themeFill="accent6" w:themeFillTint="33"/>
              <w:spacing w:after="0"/>
            </w:pPr>
            <w:r w:rsidRPr="000D3CA4">
              <w:rPr>
                <w:b/>
                <w:bCs/>
              </w:rPr>
              <w:t>*</w:t>
            </w:r>
            <w:r w:rsidRPr="000D3CA4">
              <w:t>Is not babbling (saying “ba-ba-ba” or “dee-dee”)</w:t>
            </w:r>
          </w:p>
          <w:p w:rsidR="00BA4DCA" w:rsidRPr="00811AA7" w:rsidRDefault="00CD2678" w:rsidP="00811AA7">
            <w:pPr>
              <w:pStyle w:val="flag"/>
              <w:numPr>
                <w:ilvl w:val="0"/>
                <w:numId w:val="28"/>
              </w:numPr>
              <w:shd w:val="clear" w:color="auto" w:fill="E2EFD9" w:themeFill="accent6" w:themeFillTint="33"/>
              <w:spacing w:after="0"/>
            </w:pPr>
            <w:r w:rsidRPr="000D3CA4">
              <w:t>Is not using eye gaze or gestures like pointing and showing, to communicate interests or needs</w:t>
            </w:r>
            <w:r w:rsidRPr="000D3CA4">
              <w:rPr>
                <w:b/>
                <w:bCs/>
              </w:rPr>
              <w:t>*</w:t>
            </w:r>
          </w:p>
          <w:p w:rsidR="00811AA7" w:rsidRPr="000D3CA4" w:rsidRDefault="00811AA7" w:rsidP="00811AA7">
            <w:pPr>
              <w:pStyle w:val="flag"/>
              <w:shd w:val="clear" w:color="auto" w:fill="E2EFD9" w:themeFill="accent6" w:themeFillTint="33"/>
              <w:tabs>
                <w:tab w:val="clear" w:pos="247"/>
              </w:tabs>
              <w:spacing w:after="0"/>
              <w:ind w:left="0" w:firstLine="0"/>
            </w:pPr>
          </w:p>
        </w:tc>
        <w:tc>
          <w:tcPr>
            <w:tcW w:w="5485" w:type="dxa"/>
            <w:tcBorders>
              <w:top w:val="nil"/>
              <w:left w:val="nil"/>
            </w:tcBorders>
            <w:shd w:val="clear" w:color="auto" w:fill="E2EFD9" w:themeFill="accent6" w:themeFillTint="33"/>
          </w:tcPr>
          <w:p w:rsidR="00CD2678" w:rsidRPr="000D3CA4" w:rsidRDefault="00F441CE" w:rsidP="00811AA7">
            <w:pPr>
              <w:pStyle w:val="flag"/>
              <w:numPr>
                <w:ilvl w:val="0"/>
                <w:numId w:val="28"/>
              </w:numPr>
              <w:shd w:val="clear" w:color="auto" w:fill="E2EFD9" w:themeFill="accent6" w:themeFillTint="33"/>
              <w:spacing w:after="0"/>
            </w:pPr>
            <w:r w:rsidRPr="00786958">
              <w:rPr>
                <w:b/>
              </w:rPr>
              <w:t>*</w:t>
            </w:r>
            <w:r w:rsidR="00CD2678" w:rsidRPr="000D3CA4">
              <w:t>Has infrequent eye contact or little interest in interaction</w:t>
            </w:r>
          </w:p>
          <w:p w:rsidR="00BA4DCA" w:rsidRPr="000D3CA4" w:rsidRDefault="00CD2678" w:rsidP="00811AA7">
            <w:pPr>
              <w:pStyle w:val="flag"/>
              <w:numPr>
                <w:ilvl w:val="0"/>
                <w:numId w:val="28"/>
              </w:numPr>
              <w:shd w:val="clear" w:color="auto" w:fill="E2EFD9" w:themeFill="accent6" w:themeFillTint="33"/>
              <w:spacing w:after="0"/>
            </w:pPr>
            <w:r w:rsidRPr="000D3CA4">
              <w:t>Does not respond to own name, or common words like “no”, “bye-bye”, etc.</w:t>
            </w:r>
          </w:p>
        </w:tc>
      </w:tr>
      <w:tr w:rsidR="00CD2678" w:rsidTr="000C37DE">
        <w:tc>
          <w:tcPr>
            <w:tcW w:w="10790" w:type="dxa"/>
            <w:gridSpan w:val="2"/>
            <w:shd w:val="clear" w:color="auto" w:fill="E2EFD9" w:themeFill="accent6" w:themeFillTint="33"/>
          </w:tcPr>
          <w:p w:rsidR="00CD2678" w:rsidRPr="000D3CA4" w:rsidRDefault="00CD2678" w:rsidP="00811AA7">
            <w:pPr>
              <w:pStyle w:val="Body"/>
              <w:shd w:val="clear" w:color="auto" w:fill="E2EFD9" w:themeFill="accent6" w:themeFillTint="33"/>
              <w:spacing w:line="240" w:lineRule="auto"/>
              <w:ind w:left="135" w:hanging="135"/>
              <w:rPr>
                <w:rFonts w:ascii="Times New Roman" w:hAnsi="Times New Roman"/>
                <w:b/>
                <w:bCs/>
                <w:u w:val="single"/>
              </w:rPr>
            </w:pPr>
            <w:r w:rsidRPr="000D3CA4">
              <w:rPr>
                <w:rFonts w:ascii="Times New Roman" w:hAnsi="Times New Roman"/>
                <w:b/>
                <w:bCs/>
                <w:u w:val="single"/>
              </w:rPr>
              <w:t>18 months</w:t>
            </w:r>
          </w:p>
          <w:p w:rsidR="00CD2678" w:rsidRPr="000D3CA4" w:rsidRDefault="00CD2678" w:rsidP="00E55EF7">
            <w:pPr>
              <w:pStyle w:val="flag"/>
              <w:numPr>
                <w:ilvl w:val="0"/>
                <w:numId w:val="29"/>
              </w:numPr>
              <w:shd w:val="clear" w:color="auto" w:fill="E2EFD9" w:themeFill="accent6" w:themeFillTint="33"/>
              <w:spacing w:after="60"/>
            </w:pPr>
            <w:r w:rsidRPr="000D3CA4">
              <w:t>Is not saying 10 single words (don’t have to be pronounced perfectly)</w:t>
            </w:r>
          </w:p>
        </w:tc>
      </w:tr>
    </w:tbl>
    <w:p w:rsidR="000D3CA4" w:rsidRDefault="000D3CA4" w:rsidP="00811AA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485"/>
      </w:tblGrid>
      <w:tr w:rsidR="00BA4DCA" w:rsidTr="000C37DE">
        <w:tc>
          <w:tcPr>
            <w:tcW w:w="5305" w:type="dxa"/>
            <w:tcBorders>
              <w:bottom w:val="nil"/>
              <w:right w:val="nil"/>
            </w:tcBorders>
            <w:shd w:val="clear" w:color="auto" w:fill="E2EFD9" w:themeFill="accent6" w:themeFillTint="33"/>
          </w:tcPr>
          <w:p w:rsidR="00BA4DCA" w:rsidRPr="000D3CA4" w:rsidRDefault="00CD2678" w:rsidP="00811AA7">
            <w:pPr>
              <w:pStyle w:val="Body"/>
              <w:shd w:val="clear" w:color="auto" w:fill="E2EFD9" w:themeFill="accent6" w:themeFillTint="33"/>
              <w:spacing w:line="240" w:lineRule="auto"/>
              <w:ind w:left="135" w:hanging="135"/>
              <w:rPr>
                <w:rFonts w:ascii="Times New Roman" w:hAnsi="Times New Roman"/>
                <w:b/>
                <w:bCs/>
                <w:u w:val="single"/>
              </w:rPr>
            </w:pPr>
            <w:r w:rsidRPr="000D3CA4">
              <w:rPr>
                <w:rFonts w:ascii="Times New Roman" w:hAnsi="Times New Roman"/>
                <w:b/>
                <w:bCs/>
                <w:u w:val="single"/>
              </w:rPr>
              <w:lastRenderedPageBreak/>
              <w:t>24 months</w:t>
            </w:r>
          </w:p>
        </w:tc>
        <w:tc>
          <w:tcPr>
            <w:tcW w:w="5485" w:type="dxa"/>
            <w:tcBorders>
              <w:left w:val="nil"/>
              <w:bottom w:val="nil"/>
            </w:tcBorders>
            <w:shd w:val="clear" w:color="auto" w:fill="E2EFD9" w:themeFill="accent6" w:themeFillTint="33"/>
          </w:tcPr>
          <w:p w:rsidR="00BA4DCA" w:rsidRPr="000D3CA4" w:rsidRDefault="00BA4DCA" w:rsidP="00811AA7">
            <w:pPr>
              <w:shd w:val="clear" w:color="auto" w:fill="E2EFD9" w:themeFill="accent6" w:themeFillTint="33"/>
              <w:rPr>
                <w:rFonts w:ascii="Arial" w:eastAsia="Times New Roman" w:hAnsi="Arial"/>
                <w:vanish/>
                <w:sz w:val="22"/>
              </w:rPr>
            </w:pPr>
          </w:p>
        </w:tc>
      </w:tr>
      <w:tr w:rsidR="00BA4DCA" w:rsidTr="000C37DE">
        <w:tc>
          <w:tcPr>
            <w:tcW w:w="5305" w:type="dxa"/>
            <w:tcBorders>
              <w:top w:val="nil"/>
              <w:right w:val="nil"/>
            </w:tcBorders>
            <w:shd w:val="clear" w:color="auto" w:fill="E2EFD9" w:themeFill="accent6" w:themeFillTint="33"/>
          </w:tcPr>
          <w:p w:rsidR="00CD2678" w:rsidRPr="000D3CA4" w:rsidRDefault="00CD2678" w:rsidP="00811AA7">
            <w:pPr>
              <w:pStyle w:val="flag"/>
              <w:numPr>
                <w:ilvl w:val="0"/>
                <w:numId w:val="28"/>
              </w:numPr>
              <w:shd w:val="clear" w:color="auto" w:fill="E2EFD9" w:themeFill="accent6" w:themeFillTint="33"/>
              <w:spacing w:after="0"/>
            </w:pPr>
            <w:r w:rsidRPr="000D3CA4">
              <w:t>Does not say at least 50 single words</w:t>
            </w:r>
          </w:p>
          <w:p w:rsidR="00BA4DCA" w:rsidRPr="000D3CA4" w:rsidRDefault="00CD2678" w:rsidP="00811AA7">
            <w:pPr>
              <w:pStyle w:val="flag"/>
              <w:numPr>
                <w:ilvl w:val="0"/>
                <w:numId w:val="28"/>
              </w:numPr>
              <w:shd w:val="clear" w:color="auto" w:fill="E2EFD9" w:themeFill="accent6" w:themeFillTint="33"/>
              <w:spacing w:after="0"/>
            </w:pPr>
            <w:r w:rsidRPr="00311B8D">
              <w:rPr>
                <w:b/>
              </w:rPr>
              <w:t>*</w:t>
            </w:r>
            <w:r w:rsidRPr="000D3CA4">
              <w:t>Is not combining words into two-word phrases (e.g., “mommy go”,  “daddy ball”)</w:t>
            </w:r>
          </w:p>
        </w:tc>
        <w:tc>
          <w:tcPr>
            <w:tcW w:w="5485" w:type="dxa"/>
            <w:tcBorders>
              <w:top w:val="nil"/>
              <w:left w:val="nil"/>
            </w:tcBorders>
            <w:shd w:val="clear" w:color="auto" w:fill="E2EFD9" w:themeFill="accent6" w:themeFillTint="33"/>
          </w:tcPr>
          <w:p w:rsidR="00CD2678" w:rsidRPr="000D3CA4" w:rsidRDefault="00CD2678" w:rsidP="00811AA7">
            <w:pPr>
              <w:pStyle w:val="flag"/>
              <w:numPr>
                <w:ilvl w:val="0"/>
                <w:numId w:val="28"/>
              </w:numPr>
              <w:shd w:val="clear" w:color="auto" w:fill="E2EFD9" w:themeFill="accent6" w:themeFillTint="33"/>
              <w:spacing w:after="0"/>
            </w:pPr>
            <w:r w:rsidRPr="000D3CA4">
              <w:t>Does not follow simple directions (e.g., “Roll the ball”)</w:t>
            </w:r>
          </w:p>
          <w:p w:rsidR="00BA4DCA" w:rsidRDefault="00CD2678" w:rsidP="00811AA7">
            <w:pPr>
              <w:numPr>
                <w:ilvl w:val="0"/>
                <w:numId w:val="28"/>
              </w:numPr>
              <w:shd w:val="clear" w:color="auto" w:fill="E2EFD9" w:themeFill="accent6" w:themeFillTint="33"/>
              <w:rPr>
                <w:rFonts w:ascii="Times New Roman" w:hAnsi="Times New Roman"/>
                <w:noProof/>
                <w:sz w:val="22"/>
              </w:rPr>
            </w:pPr>
            <w:r w:rsidRPr="000D3CA4">
              <w:rPr>
                <w:rFonts w:ascii="Times New Roman" w:hAnsi="Times New Roman"/>
                <w:noProof/>
                <w:sz w:val="22"/>
              </w:rPr>
              <w:t>Does not point to named body parts or pictures</w:t>
            </w:r>
          </w:p>
          <w:p w:rsidR="00811AA7" w:rsidRPr="000D3CA4" w:rsidRDefault="00811AA7" w:rsidP="00811AA7">
            <w:pPr>
              <w:shd w:val="clear" w:color="auto" w:fill="E2EFD9" w:themeFill="accent6" w:themeFillTint="33"/>
              <w:rPr>
                <w:rFonts w:ascii="Times New Roman" w:hAnsi="Times New Roman"/>
                <w:noProof/>
                <w:sz w:val="22"/>
              </w:rPr>
            </w:pPr>
          </w:p>
        </w:tc>
      </w:tr>
      <w:tr w:rsidR="000D3CA4" w:rsidTr="000C37DE">
        <w:tc>
          <w:tcPr>
            <w:tcW w:w="10790" w:type="dxa"/>
            <w:gridSpan w:val="2"/>
            <w:tcBorders>
              <w:bottom w:val="nil"/>
            </w:tcBorders>
            <w:shd w:val="clear" w:color="auto" w:fill="E2EFD9" w:themeFill="accent6" w:themeFillTint="33"/>
          </w:tcPr>
          <w:p w:rsidR="000D3CA4" w:rsidRPr="000D3CA4" w:rsidRDefault="000D3CA4" w:rsidP="00811AA7">
            <w:pPr>
              <w:pStyle w:val="Body"/>
              <w:shd w:val="clear" w:color="auto" w:fill="E2EFD9" w:themeFill="accent6" w:themeFillTint="33"/>
              <w:spacing w:line="240" w:lineRule="auto"/>
              <w:ind w:left="140" w:hanging="140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36 months</w:t>
            </w:r>
          </w:p>
        </w:tc>
      </w:tr>
      <w:tr w:rsidR="00CD2678" w:rsidTr="000C37DE">
        <w:tc>
          <w:tcPr>
            <w:tcW w:w="5305" w:type="dxa"/>
            <w:tcBorders>
              <w:top w:val="nil"/>
              <w:right w:val="nil"/>
            </w:tcBorders>
            <w:shd w:val="clear" w:color="auto" w:fill="E2EFD9" w:themeFill="accent6" w:themeFillTint="33"/>
          </w:tcPr>
          <w:p w:rsidR="000D3CA4" w:rsidRDefault="000D3CA4" w:rsidP="00811AA7">
            <w:pPr>
              <w:pStyle w:val="flag"/>
              <w:numPr>
                <w:ilvl w:val="0"/>
                <w:numId w:val="30"/>
              </w:numPr>
              <w:shd w:val="clear" w:color="auto" w:fill="E2EFD9" w:themeFill="accent6" w:themeFillTint="33"/>
              <w:spacing w:after="0"/>
            </w:pPr>
            <w:r>
              <w:t>Says only one or two words at a time (e.g., “kick ball” instead of “I kick ball to daddy”)</w:t>
            </w:r>
          </w:p>
          <w:p w:rsidR="00CD2678" w:rsidRPr="000D3CA4" w:rsidRDefault="000D3CA4" w:rsidP="00811AA7">
            <w:pPr>
              <w:pStyle w:val="flag"/>
              <w:numPr>
                <w:ilvl w:val="0"/>
                <w:numId w:val="30"/>
              </w:numPr>
              <w:shd w:val="clear" w:color="auto" w:fill="E2EFD9" w:themeFill="accent6" w:themeFillTint="33"/>
              <w:spacing w:after="0"/>
            </w:pPr>
            <w:r>
              <w:t>Cannot answer “what” or “who” questions.</w:t>
            </w:r>
          </w:p>
        </w:tc>
        <w:tc>
          <w:tcPr>
            <w:tcW w:w="5485" w:type="dxa"/>
            <w:tcBorders>
              <w:top w:val="nil"/>
              <w:left w:val="nil"/>
            </w:tcBorders>
            <w:shd w:val="clear" w:color="auto" w:fill="E2EFD9" w:themeFill="accent6" w:themeFillTint="33"/>
          </w:tcPr>
          <w:p w:rsidR="000D3CA4" w:rsidRDefault="000D3CA4" w:rsidP="00811AA7">
            <w:pPr>
              <w:pStyle w:val="flag"/>
              <w:numPr>
                <w:ilvl w:val="0"/>
                <w:numId w:val="30"/>
              </w:numPr>
              <w:shd w:val="clear" w:color="auto" w:fill="E2EFD9" w:themeFill="accent6" w:themeFillTint="33"/>
              <w:spacing w:after="0"/>
            </w:pPr>
            <w:r w:rsidRPr="00311B8D">
              <w:rPr>
                <w:b/>
                <w:bCs/>
              </w:rPr>
              <w:t>*</w:t>
            </w:r>
            <w:r>
              <w:t>Does not initiate conversations; speaks only when spoken to, or only repeats what others say</w:t>
            </w:r>
          </w:p>
          <w:p w:rsidR="00CD2678" w:rsidRPr="000D3CA4" w:rsidRDefault="000D3CA4" w:rsidP="00811AA7">
            <w:pPr>
              <w:pStyle w:val="flag"/>
              <w:numPr>
                <w:ilvl w:val="0"/>
                <w:numId w:val="30"/>
              </w:numPr>
              <w:shd w:val="clear" w:color="auto" w:fill="E2EFD9" w:themeFill="accent6" w:themeFillTint="33"/>
              <w:spacing w:after="0"/>
            </w:pPr>
            <w:r>
              <w:t>Strangers understand less than half of what child says</w:t>
            </w:r>
          </w:p>
        </w:tc>
      </w:tr>
      <w:tr w:rsidR="000D3CA4" w:rsidTr="00FA2DFF">
        <w:tc>
          <w:tcPr>
            <w:tcW w:w="10790" w:type="dxa"/>
            <w:gridSpan w:val="2"/>
            <w:tcBorders>
              <w:bottom w:val="nil"/>
            </w:tcBorders>
            <w:shd w:val="clear" w:color="auto" w:fill="E2EFD9" w:themeFill="accent6" w:themeFillTint="33"/>
          </w:tcPr>
          <w:p w:rsidR="000D3CA4" w:rsidRPr="000D3CA4" w:rsidRDefault="000D3CA4" w:rsidP="00811AA7">
            <w:pPr>
              <w:pStyle w:val="flag"/>
              <w:shd w:val="clear" w:color="auto" w:fill="E2EFD9" w:themeFill="accent6" w:themeFillTint="33"/>
              <w:spacing w:after="0"/>
              <w:ind w:left="140" w:hanging="14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4 years</w:t>
            </w:r>
          </w:p>
        </w:tc>
      </w:tr>
      <w:tr w:rsidR="00CD2678" w:rsidTr="000C37DE">
        <w:tc>
          <w:tcPr>
            <w:tcW w:w="5305" w:type="dxa"/>
            <w:tcBorders>
              <w:top w:val="nil"/>
              <w:right w:val="nil"/>
            </w:tcBorders>
            <w:shd w:val="clear" w:color="auto" w:fill="E2EFD9" w:themeFill="accent6" w:themeFillTint="33"/>
          </w:tcPr>
          <w:p w:rsidR="000D3CA4" w:rsidRDefault="000D3CA4" w:rsidP="00811AA7">
            <w:pPr>
              <w:pStyle w:val="flag"/>
              <w:numPr>
                <w:ilvl w:val="0"/>
                <w:numId w:val="31"/>
              </w:numPr>
              <w:shd w:val="clear" w:color="auto" w:fill="E2EFD9" w:themeFill="accent6" w:themeFillTint="33"/>
              <w:spacing w:after="0"/>
            </w:pPr>
            <w:r>
              <w:t>Talks only about the “here and now” rather than events in the past and future, objects/people that are not present, etc</w:t>
            </w:r>
          </w:p>
          <w:p w:rsidR="00CD2678" w:rsidRPr="000D3CA4" w:rsidRDefault="000D3CA4" w:rsidP="00811AA7">
            <w:pPr>
              <w:pStyle w:val="flag"/>
              <w:numPr>
                <w:ilvl w:val="0"/>
                <w:numId w:val="31"/>
              </w:numPr>
              <w:shd w:val="clear" w:color="auto" w:fill="E2EFD9" w:themeFill="accent6" w:themeFillTint="33"/>
              <w:spacing w:after="0"/>
            </w:pPr>
            <w:r>
              <w:t>Puts words in the wrong order in sentences, and /or leaves out little words (</w:t>
            </w:r>
            <w:r w:rsidRPr="008214A5">
              <w:rPr>
                <w:i/>
                <w:iCs/>
              </w:rPr>
              <w:t>in, the, of</w:t>
            </w:r>
            <w:r>
              <w:t>) and word endings (-</w:t>
            </w:r>
            <w:r w:rsidRPr="008214A5">
              <w:rPr>
                <w:i/>
                <w:iCs/>
              </w:rPr>
              <w:t>ing, -ed,–s</w:t>
            </w:r>
            <w:r>
              <w:t>)</w:t>
            </w:r>
          </w:p>
        </w:tc>
        <w:tc>
          <w:tcPr>
            <w:tcW w:w="5485" w:type="dxa"/>
            <w:tcBorders>
              <w:top w:val="nil"/>
              <w:left w:val="nil"/>
            </w:tcBorders>
            <w:shd w:val="clear" w:color="auto" w:fill="E2EFD9" w:themeFill="accent6" w:themeFillTint="33"/>
          </w:tcPr>
          <w:p w:rsidR="000D3CA4" w:rsidRDefault="000D3CA4" w:rsidP="00811AA7">
            <w:pPr>
              <w:pStyle w:val="flag"/>
              <w:numPr>
                <w:ilvl w:val="0"/>
                <w:numId w:val="31"/>
              </w:numPr>
              <w:shd w:val="clear" w:color="auto" w:fill="E2EFD9" w:themeFill="accent6" w:themeFillTint="33"/>
              <w:spacing w:after="0"/>
            </w:pPr>
            <w:r>
              <w:t>Does not follow two-step directions</w:t>
            </w:r>
          </w:p>
          <w:p w:rsidR="000D3CA4" w:rsidRDefault="000D3CA4" w:rsidP="00811AA7">
            <w:pPr>
              <w:pStyle w:val="flag"/>
              <w:numPr>
                <w:ilvl w:val="0"/>
                <w:numId w:val="31"/>
              </w:numPr>
              <w:shd w:val="clear" w:color="auto" w:fill="E2EFD9" w:themeFill="accent6" w:themeFillTint="33"/>
              <w:spacing w:after="0"/>
            </w:pPr>
            <w:r>
              <w:t>Cannot listen to 2-3 lines of a story and answer simple questions about it</w:t>
            </w:r>
          </w:p>
          <w:p w:rsidR="00CD2678" w:rsidRDefault="000D3CA4" w:rsidP="00811AA7">
            <w:pPr>
              <w:pStyle w:val="flag"/>
              <w:numPr>
                <w:ilvl w:val="0"/>
                <w:numId w:val="31"/>
              </w:numPr>
              <w:shd w:val="clear" w:color="auto" w:fill="E2EFD9" w:themeFill="accent6" w:themeFillTint="33"/>
              <w:spacing w:after="0"/>
            </w:pPr>
            <w:r>
              <w:t>Speech is still hard to understand (i.e., many sound errors)</w:t>
            </w:r>
          </w:p>
          <w:p w:rsidR="00811AA7" w:rsidRPr="000D3CA4" w:rsidRDefault="00811AA7" w:rsidP="00811AA7">
            <w:pPr>
              <w:pStyle w:val="flag"/>
              <w:shd w:val="clear" w:color="auto" w:fill="E2EFD9" w:themeFill="accent6" w:themeFillTint="33"/>
              <w:tabs>
                <w:tab w:val="clear" w:pos="247"/>
              </w:tabs>
              <w:spacing w:after="0"/>
              <w:ind w:left="0" w:firstLine="0"/>
            </w:pPr>
          </w:p>
        </w:tc>
      </w:tr>
      <w:tr w:rsidR="00672E15" w:rsidTr="000C37DE">
        <w:tc>
          <w:tcPr>
            <w:tcW w:w="5305" w:type="dxa"/>
            <w:tcBorders>
              <w:top w:val="nil"/>
              <w:right w:val="nil"/>
            </w:tcBorders>
            <w:shd w:val="clear" w:color="auto" w:fill="E2EFD9" w:themeFill="accent6" w:themeFillTint="33"/>
          </w:tcPr>
          <w:p w:rsidR="00672E15" w:rsidRPr="00672E15" w:rsidRDefault="00672E15" w:rsidP="00672E15">
            <w:pPr>
              <w:pStyle w:val="flag"/>
              <w:shd w:val="clear" w:color="auto" w:fill="E2EFD9" w:themeFill="accent6" w:themeFillTint="33"/>
              <w:tabs>
                <w:tab w:val="clear" w:pos="247"/>
              </w:tabs>
              <w:spacing w:after="0"/>
              <w:ind w:left="0" w:firstLine="0"/>
              <w:rPr>
                <w:b/>
                <w:u w:val="single"/>
              </w:rPr>
            </w:pPr>
            <w:r w:rsidRPr="00672E15">
              <w:rPr>
                <w:b/>
                <w:u w:val="single"/>
              </w:rPr>
              <w:t>5 years</w:t>
            </w:r>
          </w:p>
          <w:p w:rsidR="00672E15" w:rsidRDefault="00672E15" w:rsidP="00811AA7">
            <w:pPr>
              <w:pStyle w:val="flag"/>
              <w:numPr>
                <w:ilvl w:val="0"/>
                <w:numId w:val="31"/>
              </w:numPr>
              <w:shd w:val="clear" w:color="auto" w:fill="E2EFD9" w:themeFill="accent6" w:themeFillTint="33"/>
              <w:spacing w:after="0"/>
            </w:pPr>
            <w:r>
              <w:t>Uses only 3-4 word sentences to talk about “here and now”</w:t>
            </w:r>
          </w:p>
          <w:p w:rsidR="00672E15" w:rsidRDefault="00672E15" w:rsidP="00311B8D">
            <w:pPr>
              <w:pStyle w:val="flag"/>
              <w:numPr>
                <w:ilvl w:val="0"/>
                <w:numId w:val="31"/>
              </w:numPr>
              <w:shd w:val="clear" w:color="auto" w:fill="E2EFD9" w:themeFill="accent6" w:themeFillTint="33"/>
              <w:spacing w:after="0"/>
            </w:pPr>
            <w:r w:rsidRPr="00311B8D">
              <w:rPr>
                <w:b/>
              </w:rPr>
              <w:t>*</w:t>
            </w:r>
            <w:r>
              <w:t>Talks a lot, but does not engage in reciprocal conversation and/or make comments relevant to the situation</w:t>
            </w:r>
          </w:p>
        </w:tc>
        <w:tc>
          <w:tcPr>
            <w:tcW w:w="5485" w:type="dxa"/>
            <w:tcBorders>
              <w:top w:val="nil"/>
              <w:left w:val="nil"/>
            </w:tcBorders>
            <w:shd w:val="clear" w:color="auto" w:fill="E2EFD9" w:themeFill="accent6" w:themeFillTint="33"/>
          </w:tcPr>
          <w:p w:rsidR="00672E15" w:rsidRDefault="00672E15" w:rsidP="00672E15">
            <w:pPr>
              <w:pStyle w:val="flag"/>
              <w:shd w:val="clear" w:color="auto" w:fill="E2EFD9" w:themeFill="accent6" w:themeFillTint="33"/>
              <w:tabs>
                <w:tab w:val="clear" w:pos="247"/>
              </w:tabs>
              <w:spacing w:after="0"/>
            </w:pPr>
          </w:p>
          <w:p w:rsidR="00672E15" w:rsidRDefault="00672E15" w:rsidP="00672E15">
            <w:pPr>
              <w:pStyle w:val="flag"/>
              <w:numPr>
                <w:ilvl w:val="0"/>
                <w:numId w:val="31"/>
              </w:numPr>
              <w:shd w:val="clear" w:color="auto" w:fill="E2EFD9" w:themeFill="accent6" w:themeFillTint="33"/>
              <w:spacing w:after="0"/>
            </w:pPr>
            <w:r>
              <w:t>Cannot answer “how” and “why” questions, or questions about past or future events</w:t>
            </w:r>
          </w:p>
          <w:p w:rsidR="00672E15" w:rsidRDefault="00672E15" w:rsidP="00672E15">
            <w:pPr>
              <w:pStyle w:val="flag"/>
              <w:numPr>
                <w:ilvl w:val="0"/>
                <w:numId w:val="31"/>
              </w:numPr>
              <w:shd w:val="clear" w:color="auto" w:fill="E2EFD9" w:themeFill="accent6" w:themeFillTint="33"/>
              <w:spacing w:after="0"/>
            </w:pPr>
            <w:r>
              <w:t>Still has trouble with early speech sounds (</w:t>
            </w:r>
            <w:r w:rsidRPr="00672E15">
              <w:rPr>
                <w:i/>
              </w:rPr>
              <w:t>other than r, l, and th</w:t>
            </w:r>
            <w:r>
              <w:t>)</w:t>
            </w:r>
          </w:p>
        </w:tc>
      </w:tr>
    </w:tbl>
    <w:p w:rsidR="00760B9B" w:rsidRDefault="00760B9B" w:rsidP="00760B9B">
      <w:pPr>
        <w:rPr>
          <w:rFonts w:ascii="Arial" w:hAnsi="Arial" w:cs="Arial"/>
          <w:sz w:val="12"/>
          <w:szCs w:val="12"/>
        </w:rPr>
      </w:pPr>
    </w:p>
    <w:p w:rsidR="00CC3204" w:rsidRPr="000A7335" w:rsidRDefault="000A7335" w:rsidP="000A7335">
      <w:pPr>
        <w:pStyle w:val="Heading3"/>
        <w:spacing w:before="0" w:after="0"/>
        <w:rPr>
          <w:rFonts w:ascii="Arial" w:hAnsi="Arial" w:cs="Arial"/>
          <w:color w:val="1F4C7D"/>
          <w:sz w:val="26"/>
          <w:szCs w:val="26"/>
        </w:rPr>
      </w:pPr>
      <w:r w:rsidRPr="000A7335">
        <w:rPr>
          <w:rFonts w:ascii="Arial" w:hAnsi="Arial" w:cs="Arial"/>
          <w:color w:val="1F4C7D"/>
          <w:sz w:val="26"/>
          <w:szCs w:val="26"/>
        </w:rPr>
        <w:t>Speech and Language</w:t>
      </w:r>
      <w:r w:rsidR="004734E7" w:rsidRPr="000A7335">
        <w:rPr>
          <w:rFonts w:ascii="Arial" w:hAnsi="Arial" w:cs="Arial"/>
          <w:color w:val="1F4C7D"/>
          <w:sz w:val="26"/>
          <w:szCs w:val="26"/>
        </w:rPr>
        <w:t xml:space="preserve"> Resources</w:t>
      </w:r>
    </w:p>
    <w:p w:rsidR="00CC3204" w:rsidRPr="000D3CA4" w:rsidRDefault="00CC3204" w:rsidP="00760B9B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10800" w:type="dxa"/>
        <w:tblInd w:w="-1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1515"/>
        <w:gridCol w:w="10"/>
        <w:gridCol w:w="2060"/>
        <w:gridCol w:w="2790"/>
        <w:gridCol w:w="4405"/>
        <w:gridCol w:w="10"/>
      </w:tblGrid>
      <w:tr w:rsidR="00760B9B" w:rsidTr="00B10EB9">
        <w:trPr>
          <w:gridBefore w:val="1"/>
          <w:wBefore w:w="10" w:type="dxa"/>
        </w:trPr>
        <w:tc>
          <w:tcPr>
            <w:tcW w:w="10790" w:type="dxa"/>
            <w:gridSpan w:val="6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:rsidR="00CC3204" w:rsidRPr="00CC3204" w:rsidRDefault="00CC3204" w:rsidP="00CC3204"/>
        </w:tc>
      </w:tr>
      <w:tr w:rsidR="00760B9B" w:rsidTr="00B10EB9">
        <w:trPr>
          <w:gridBefore w:val="1"/>
          <w:wBefore w:w="10" w:type="dxa"/>
        </w:trPr>
        <w:tc>
          <w:tcPr>
            <w:tcW w:w="1515" w:type="dxa"/>
            <w:tcBorders>
              <w:left w:val="double" w:sz="4" w:space="0" w:color="000000"/>
            </w:tcBorders>
          </w:tcPr>
          <w:p w:rsidR="00760B9B" w:rsidRDefault="00760B9B" w:rsidP="002C1FF1">
            <w:pPr>
              <w:pStyle w:val="ArrowBold"/>
              <w:spacing w:after="20"/>
            </w:pPr>
            <w:r>
              <w:t>Local:</w:t>
            </w:r>
          </w:p>
        </w:tc>
        <w:tc>
          <w:tcPr>
            <w:tcW w:w="4860" w:type="dxa"/>
            <w:gridSpan w:val="3"/>
          </w:tcPr>
          <w:p w:rsidR="00760B9B" w:rsidRPr="000A7335" w:rsidRDefault="00760B9B" w:rsidP="00672E15">
            <w:pPr>
              <w:pStyle w:val="Body"/>
              <w:spacing w:after="20" w:line="240" w:lineRule="auto"/>
              <w:rPr>
                <w:rFonts w:cs="Arial"/>
                <w:sz w:val="16"/>
                <w:szCs w:val="16"/>
              </w:rPr>
            </w:pPr>
            <w:r w:rsidRPr="009B1412">
              <w:rPr>
                <w:rFonts w:cs="Arial"/>
                <w:sz w:val="20"/>
                <w:szCs w:val="20"/>
              </w:rPr>
              <w:t>(3)</w:t>
            </w:r>
            <w:r w:rsidR="00672E15">
              <w:rPr>
                <w:rFonts w:cs="Arial"/>
                <w:sz w:val="20"/>
                <w:szCs w:val="20"/>
              </w:rPr>
              <w:t xml:space="preserve"> </w:t>
            </w:r>
            <w:r w:rsidRPr="009B1412">
              <w:rPr>
                <w:rFonts w:cs="Arial"/>
                <w:i/>
                <w:sz w:val="20"/>
                <w:szCs w:val="20"/>
              </w:rPr>
              <w:t>List audiology clinics and speech/language resources, where you want PCPs to refer children to rule out speech/language delays</w:t>
            </w:r>
          </w:p>
        </w:tc>
        <w:tc>
          <w:tcPr>
            <w:tcW w:w="4415" w:type="dxa"/>
            <w:gridSpan w:val="2"/>
            <w:tcBorders>
              <w:right w:val="double" w:sz="4" w:space="0" w:color="000000"/>
            </w:tcBorders>
          </w:tcPr>
          <w:p w:rsidR="00CC3204" w:rsidRDefault="00CC3204" w:rsidP="002C1FF1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</w:p>
          <w:p w:rsidR="00CC3204" w:rsidRDefault="00CC3204" w:rsidP="002C1FF1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</w:p>
          <w:p w:rsidR="00760B9B" w:rsidRPr="009B1412" w:rsidRDefault="00760B9B" w:rsidP="00672E15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B9B" w:rsidTr="00B10EB9">
        <w:trPr>
          <w:gridBefore w:val="1"/>
          <w:wBefore w:w="10" w:type="dxa"/>
          <w:trHeight w:val="1422"/>
        </w:trPr>
        <w:tc>
          <w:tcPr>
            <w:tcW w:w="1525" w:type="dxa"/>
            <w:gridSpan w:val="2"/>
            <w:tcBorders>
              <w:left w:val="double" w:sz="4" w:space="0" w:color="000000"/>
            </w:tcBorders>
          </w:tcPr>
          <w:p w:rsidR="00760B9B" w:rsidRDefault="00760B9B" w:rsidP="002C1FF1">
            <w:pPr>
              <w:pStyle w:val="ArrowBold"/>
              <w:spacing w:after="20"/>
            </w:pPr>
            <w:r>
              <w:t>WA State:</w:t>
            </w:r>
          </w:p>
        </w:tc>
        <w:tc>
          <w:tcPr>
            <w:tcW w:w="4850" w:type="dxa"/>
            <w:gridSpan w:val="2"/>
          </w:tcPr>
          <w:p w:rsidR="004734E7" w:rsidRDefault="004734E7" w:rsidP="002C1FF1">
            <w:pPr>
              <w:pStyle w:val="Body"/>
              <w:tabs>
                <w:tab w:val="left" w:pos="342"/>
              </w:tabs>
              <w:spacing w:after="20" w:line="240" w:lineRule="auto"/>
              <w:rPr>
                <w:rFonts w:cs="Arial"/>
                <w:sz w:val="20"/>
                <w:szCs w:val="20"/>
              </w:rPr>
            </w:pPr>
            <w:r w:rsidRPr="004734E7">
              <w:rPr>
                <w:rFonts w:cs="Arial"/>
                <w:sz w:val="20"/>
                <w:szCs w:val="20"/>
              </w:rPr>
              <w:t xml:space="preserve">Diagnostic </w:t>
            </w:r>
            <w:r w:rsidR="00DF502C">
              <w:rPr>
                <w:rFonts w:cs="Arial"/>
                <w:sz w:val="20"/>
                <w:szCs w:val="20"/>
              </w:rPr>
              <w:t>C</w:t>
            </w:r>
            <w:r w:rsidRPr="004734E7">
              <w:rPr>
                <w:rFonts w:cs="Arial"/>
                <w:sz w:val="20"/>
                <w:szCs w:val="20"/>
              </w:rPr>
              <w:t xml:space="preserve">linics for </w:t>
            </w:r>
            <w:r w:rsidR="00DF502C">
              <w:rPr>
                <w:rFonts w:cs="Arial"/>
                <w:sz w:val="20"/>
                <w:szCs w:val="20"/>
              </w:rPr>
              <w:t>I</w:t>
            </w:r>
            <w:r w:rsidRPr="004734E7">
              <w:rPr>
                <w:rFonts w:cs="Arial"/>
                <w:sz w:val="20"/>
                <w:szCs w:val="20"/>
              </w:rPr>
              <w:t>nfants</w:t>
            </w:r>
            <w:r>
              <w:rPr>
                <w:rFonts w:cs="Arial"/>
                <w:sz w:val="20"/>
                <w:szCs w:val="20"/>
              </w:rPr>
              <w:t xml:space="preserve"> in WA</w:t>
            </w:r>
          </w:p>
          <w:p w:rsidR="004734E7" w:rsidRDefault="004734E7" w:rsidP="002C1FF1">
            <w:pPr>
              <w:pStyle w:val="Body"/>
              <w:tabs>
                <w:tab w:val="left" w:pos="342"/>
              </w:tabs>
              <w:spacing w:after="20" w:line="240" w:lineRule="auto"/>
              <w:rPr>
                <w:rFonts w:cs="Arial"/>
                <w:sz w:val="20"/>
                <w:szCs w:val="20"/>
              </w:rPr>
            </w:pPr>
          </w:p>
          <w:p w:rsidR="00760B9B" w:rsidRDefault="00311B8D" w:rsidP="00DF502C">
            <w:pPr>
              <w:pStyle w:val="Body"/>
              <w:tabs>
                <w:tab w:val="left" w:pos="342"/>
              </w:tabs>
              <w:spacing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WA State</w:t>
            </w:r>
            <w:r w:rsidR="00760B9B" w:rsidRPr="009B1412">
              <w:rPr>
                <w:rFonts w:cs="Arial"/>
                <w:sz w:val="20"/>
                <w:szCs w:val="20"/>
              </w:rPr>
              <w:t xml:space="preserve"> Resources </w:t>
            </w:r>
            <w:r>
              <w:rPr>
                <w:rFonts w:cs="Arial"/>
                <w:sz w:val="20"/>
                <w:szCs w:val="20"/>
              </w:rPr>
              <w:t xml:space="preserve">by County </w:t>
            </w:r>
            <w:r w:rsidR="00760B9B" w:rsidRPr="009B1412">
              <w:rPr>
                <w:rFonts w:cs="Arial"/>
                <w:sz w:val="20"/>
                <w:szCs w:val="20"/>
              </w:rPr>
              <w:t>for Children with Hearing Loss and their Families</w:t>
            </w:r>
          </w:p>
          <w:p w:rsidR="004734E7" w:rsidRPr="009B1412" w:rsidRDefault="004734E7" w:rsidP="002C1FF1">
            <w:pPr>
              <w:pStyle w:val="Body"/>
              <w:tabs>
                <w:tab w:val="left" w:pos="342"/>
              </w:tabs>
              <w:spacing w:after="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Reach Out and Read WA</w:t>
            </w:r>
          </w:p>
        </w:tc>
        <w:tc>
          <w:tcPr>
            <w:tcW w:w="4415" w:type="dxa"/>
            <w:gridSpan w:val="2"/>
            <w:tcBorders>
              <w:right w:val="double" w:sz="4" w:space="0" w:color="000000"/>
            </w:tcBorders>
          </w:tcPr>
          <w:p w:rsidR="004734E7" w:rsidRPr="000A7335" w:rsidRDefault="00E55EF7" w:rsidP="00DF502C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hyperlink r:id="rId10" w:history="1">
              <w:r w:rsidR="004734E7" w:rsidRPr="000A7335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http://www.doh.wa.gov/Portals/1/Documents/Pubs/344-040_EHDDIPedAudioSvcs.pdf</w:t>
              </w:r>
            </w:hyperlink>
          </w:p>
          <w:p w:rsidR="00760B9B" w:rsidRPr="000A7335" w:rsidRDefault="00E55EF7" w:rsidP="004734E7">
            <w:pPr>
              <w:spacing w:after="60"/>
              <w:rPr>
                <w:rStyle w:val="Hyperlink"/>
                <w:rFonts w:ascii="Arial" w:hAnsi="Arial" w:cs="Arial"/>
                <w:sz w:val="16"/>
                <w:szCs w:val="16"/>
              </w:rPr>
            </w:pPr>
            <w:hyperlink r:id="rId11" w:history="1">
              <w:r w:rsidR="00760B9B" w:rsidRPr="000A7335">
                <w:rPr>
                  <w:rStyle w:val="Hyperlink"/>
                  <w:rFonts w:ascii="Arial" w:hAnsi="Arial" w:cs="Arial"/>
                  <w:sz w:val="16"/>
                  <w:szCs w:val="16"/>
                </w:rPr>
                <w:t>www.doh.wa.gov/YouandYourFamily/InfantsChildrenandTeens/HealthandSafety/EarlyHearingLoss/DeafHardofHearingServices</w:t>
              </w:r>
            </w:hyperlink>
          </w:p>
          <w:p w:rsidR="004734E7" w:rsidRPr="000A7335" w:rsidRDefault="00E55EF7" w:rsidP="002C1FF1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hyperlink r:id="rId12" w:history="1">
              <w:r w:rsidR="004734E7" w:rsidRPr="000A7335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http://www.reachoutandreadwa.org/</w:t>
              </w:r>
            </w:hyperlink>
          </w:p>
          <w:p w:rsidR="004734E7" w:rsidRPr="000A7335" w:rsidRDefault="004734E7" w:rsidP="002C1FF1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B9B" w:rsidTr="00B10EB9">
        <w:trPr>
          <w:gridBefore w:val="1"/>
          <w:wBefore w:w="10" w:type="dxa"/>
        </w:trPr>
        <w:tc>
          <w:tcPr>
            <w:tcW w:w="1525" w:type="dxa"/>
            <w:gridSpan w:val="2"/>
            <w:tcBorders>
              <w:left w:val="double" w:sz="4" w:space="0" w:color="000000"/>
              <w:bottom w:val="double" w:sz="4" w:space="0" w:color="000000"/>
            </w:tcBorders>
          </w:tcPr>
          <w:p w:rsidR="00760B9B" w:rsidRDefault="00760B9B" w:rsidP="000A7335">
            <w:pPr>
              <w:pStyle w:val="ArrowBold"/>
              <w:spacing w:after="20"/>
            </w:pPr>
            <w:r>
              <w:t>National</w:t>
            </w:r>
            <w:r w:rsidR="000A7335">
              <w:t>:</w:t>
            </w:r>
            <w:r>
              <w:br/>
            </w:r>
          </w:p>
        </w:tc>
        <w:tc>
          <w:tcPr>
            <w:tcW w:w="4850" w:type="dxa"/>
            <w:gridSpan w:val="2"/>
            <w:tcBorders>
              <w:bottom w:val="double" w:sz="4" w:space="0" w:color="000000"/>
            </w:tcBorders>
          </w:tcPr>
          <w:p w:rsidR="00760B9B" w:rsidRPr="009B1412" w:rsidRDefault="00760B9B" w:rsidP="002C1FF1">
            <w:pPr>
              <w:pStyle w:val="Body"/>
              <w:spacing w:after="20" w:line="240" w:lineRule="auto"/>
              <w:rPr>
                <w:rFonts w:cs="Arial"/>
                <w:sz w:val="20"/>
                <w:szCs w:val="20"/>
              </w:rPr>
            </w:pPr>
            <w:r w:rsidRPr="009B1412">
              <w:rPr>
                <w:rFonts w:cs="Arial"/>
                <w:sz w:val="20"/>
                <w:szCs w:val="20"/>
              </w:rPr>
              <w:t>American Speech and Language Association</w:t>
            </w:r>
          </w:p>
          <w:p w:rsidR="00760B9B" w:rsidRPr="009B1412" w:rsidRDefault="00760B9B" w:rsidP="002C1FF1">
            <w:pPr>
              <w:pStyle w:val="Body"/>
              <w:spacing w:after="20" w:line="240" w:lineRule="auto"/>
              <w:rPr>
                <w:rFonts w:cs="Arial"/>
                <w:sz w:val="20"/>
                <w:szCs w:val="20"/>
              </w:rPr>
            </w:pPr>
            <w:r w:rsidRPr="009B1412">
              <w:rPr>
                <w:rFonts w:cs="Arial"/>
                <w:sz w:val="20"/>
                <w:szCs w:val="20"/>
              </w:rPr>
              <w:t>Identify the Signs of Communication Disorders</w:t>
            </w:r>
          </w:p>
          <w:p w:rsidR="00760B9B" w:rsidRPr="009B1412" w:rsidRDefault="00760B9B" w:rsidP="002C1FF1">
            <w:pPr>
              <w:pStyle w:val="Body"/>
              <w:spacing w:after="20" w:line="240" w:lineRule="auto"/>
              <w:rPr>
                <w:rFonts w:cs="Arial"/>
                <w:sz w:val="20"/>
                <w:szCs w:val="20"/>
              </w:rPr>
            </w:pPr>
            <w:r w:rsidRPr="009B1412">
              <w:rPr>
                <w:rFonts w:cs="Arial"/>
                <w:sz w:val="20"/>
                <w:szCs w:val="20"/>
              </w:rPr>
              <w:t>American Academy of Pediatrics</w:t>
            </w:r>
          </w:p>
          <w:p w:rsidR="00760B9B" w:rsidRPr="009B1412" w:rsidRDefault="00760B9B" w:rsidP="004734E7">
            <w:pPr>
              <w:pStyle w:val="Body"/>
              <w:spacing w:after="20" w:line="240" w:lineRule="auto"/>
              <w:rPr>
                <w:rFonts w:cs="Arial"/>
                <w:sz w:val="20"/>
                <w:szCs w:val="20"/>
              </w:rPr>
            </w:pPr>
            <w:r w:rsidRPr="009B1412">
              <w:rPr>
                <w:rFonts w:cs="Arial"/>
                <w:sz w:val="20"/>
                <w:szCs w:val="20"/>
              </w:rPr>
              <w:t>AAP Developmental and Behavioral Pediatrics</w:t>
            </w:r>
          </w:p>
        </w:tc>
        <w:tc>
          <w:tcPr>
            <w:tcW w:w="4415" w:type="dxa"/>
            <w:gridSpan w:val="2"/>
            <w:tcBorders>
              <w:bottom w:val="double" w:sz="4" w:space="0" w:color="000000"/>
              <w:right w:val="double" w:sz="4" w:space="0" w:color="000000"/>
            </w:tcBorders>
          </w:tcPr>
          <w:p w:rsidR="00760B9B" w:rsidRPr="000A7335" w:rsidRDefault="00E55EF7" w:rsidP="00DF502C">
            <w:pPr>
              <w:pStyle w:val="Body"/>
              <w:spacing w:after="40" w:line="240" w:lineRule="auto"/>
              <w:rPr>
                <w:rFonts w:cs="Arial"/>
                <w:sz w:val="16"/>
                <w:szCs w:val="16"/>
                <w:u w:val="single"/>
              </w:rPr>
            </w:pPr>
            <w:hyperlink r:id="rId13" w:history="1">
              <w:r w:rsidR="00760B9B" w:rsidRPr="000A7335">
                <w:rPr>
                  <w:rStyle w:val="Hyperlink"/>
                  <w:rFonts w:cs="Arial"/>
                  <w:sz w:val="16"/>
                  <w:szCs w:val="16"/>
                </w:rPr>
                <w:t>http://www.asha.org</w:t>
              </w:r>
            </w:hyperlink>
          </w:p>
          <w:p w:rsidR="00760B9B" w:rsidRPr="000A7335" w:rsidRDefault="00E55EF7" w:rsidP="00DF502C">
            <w:pPr>
              <w:pStyle w:val="Body"/>
              <w:spacing w:after="40" w:line="240" w:lineRule="auto"/>
              <w:rPr>
                <w:rFonts w:cs="Arial"/>
                <w:sz w:val="16"/>
                <w:szCs w:val="16"/>
                <w:u w:val="single"/>
              </w:rPr>
            </w:pPr>
            <w:hyperlink r:id="rId14" w:history="1">
              <w:r w:rsidR="00760B9B" w:rsidRPr="000A7335">
                <w:rPr>
                  <w:rStyle w:val="Hyperlink"/>
                  <w:rFonts w:cs="Arial"/>
                  <w:sz w:val="16"/>
                  <w:szCs w:val="16"/>
                </w:rPr>
                <w:t>http://identifythesigns.org/</w:t>
              </w:r>
            </w:hyperlink>
            <w:r w:rsidR="00760B9B" w:rsidRPr="000A7335">
              <w:rPr>
                <w:rFonts w:cs="Arial"/>
                <w:sz w:val="16"/>
                <w:szCs w:val="16"/>
                <w:u w:val="single"/>
              </w:rPr>
              <w:t xml:space="preserve"> </w:t>
            </w:r>
          </w:p>
          <w:p w:rsidR="00DF502C" w:rsidRPr="000A7335" w:rsidRDefault="00E55EF7" w:rsidP="00DF502C">
            <w:pPr>
              <w:pStyle w:val="Body"/>
              <w:spacing w:after="40" w:line="240" w:lineRule="auto"/>
              <w:rPr>
                <w:rFonts w:cs="Arial"/>
                <w:sz w:val="16"/>
                <w:szCs w:val="16"/>
                <w:u w:val="single"/>
              </w:rPr>
            </w:pPr>
            <w:hyperlink r:id="rId15" w:history="1">
              <w:r w:rsidR="00DF502C" w:rsidRPr="000A7335">
                <w:rPr>
                  <w:rStyle w:val="Hyperlink"/>
                  <w:rFonts w:cs="Arial"/>
                  <w:sz w:val="16"/>
                  <w:szCs w:val="16"/>
                </w:rPr>
                <w:t>www.aap.org</w:t>
              </w:r>
            </w:hyperlink>
            <w:r w:rsidR="00DF502C" w:rsidRPr="000A7335">
              <w:rPr>
                <w:rFonts w:cs="Arial"/>
                <w:sz w:val="16"/>
                <w:szCs w:val="16"/>
                <w:u w:val="single"/>
              </w:rPr>
              <w:t xml:space="preserve"> </w:t>
            </w:r>
          </w:p>
          <w:p w:rsidR="00760B9B" w:rsidRPr="000A7335" w:rsidRDefault="00E55EF7" w:rsidP="002C1FF1">
            <w:pPr>
              <w:pStyle w:val="Body"/>
              <w:spacing w:after="20" w:line="240" w:lineRule="auto"/>
              <w:rPr>
                <w:rFonts w:cs="Arial"/>
                <w:sz w:val="16"/>
                <w:szCs w:val="16"/>
                <w:u w:val="single"/>
              </w:rPr>
            </w:pPr>
            <w:hyperlink r:id="rId16" w:history="1">
              <w:r w:rsidR="00760B9B" w:rsidRPr="000A7335">
                <w:rPr>
                  <w:rStyle w:val="Hyperlink"/>
                  <w:rFonts w:cs="Arial"/>
                  <w:sz w:val="16"/>
                  <w:szCs w:val="16"/>
                </w:rPr>
                <w:t>www.dbpeds.org</w:t>
              </w:r>
            </w:hyperlink>
            <w:r w:rsidR="00760B9B" w:rsidRPr="000A7335">
              <w:rPr>
                <w:rFonts w:cs="Arial"/>
                <w:sz w:val="16"/>
                <w:szCs w:val="16"/>
                <w:u w:val="single"/>
              </w:rPr>
              <w:t xml:space="preserve"> </w:t>
            </w:r>
          </w:p>
          <w:p w:rsidR="00760B9B" w:rsidRPr="000A7335" w:rsidRDefault="00760B9B" w:rsidP="00E40E2E">
            <w:pPr>
              <w:pStyle w:val="Body"/>
              <w:spacing w:after="20" w:line="240" w:lineRule="auto"/>
              <w:rPr>
                <w:rFonts w:cs="Arial"/>
                <w:sz w:val="16"/>
                <w:szCs w:val="16"/>
                <w:u w:val="single"/>
              </w:rPr>
            </w:pPr>
          </w:p>
        </w:tc>
      </w:tr>
      <w:tr w:rsidR="000C37DE" w:rsidTr="00B10EB9">
        <w:trPr>
          <w:gridAfter w:val="1"/>
          <w:wAfter w:w="10" w:type="dxa"/>
          <w:trHeight w:val="576"/>
        </w:trPr>
        <w:tc>
          <w:tcPr>
            <w:tcW w:w="10790" w:type="dxa"/>
            <w:gridSpan w:val="6"/>
          </w:tcPr>
          <w:p w:rsidR="000C37DE" w:rsidRPr="00672E15" w:rsidRDefault="000C37DE" w:rsidP="00672E15">
            <w:pPr>
              <w:pStyle w:val="Heading3"/>
              <w:spacing w:after="0"/>
              <w:outlineLvl w:val="2"/>
              <w:rPr>
                <w:rFonts w:ascii="Arial" w:eastAsia="Times" w:hAnsi="Arial" w:cs="Arial"/>
                <w:color w:val="1F4C7D"/>
                <w:sz w:val="26"/>
                <w:szCs w:val="26"/>
              </w:rPr>
            </w:pPr>
            <w:r w:rsidRPr="00672E15">
              <w:rPr>
                <w:rFonts w:ascii="Arial" w:eastAsia="Times" w:hAnsi="Arial" w:cs="Arial"/>
                <w:color w:val="1F4C7D"/>
                <w:sz w:val="26"/>
                <w:szCs w:val="26"/>
              </w:rPr>
              <w:t>(4) County Special Needs Information and Referral Resources</w:t>
            </w:r>
          </w:p>
        </w:tc>
      </w:tr>
      <w:tr w:rsidR="000C37DE" w:rsidTr="00B10EB9">
        <w:trPr>
          <w:gridAfter w:val="1"/>
          <w:wAfter w:w="10" w:type="dxa"/>
          <w:trHeight w:val="576"/>
        </w:trPr>
        <w:tc>
          <w:tcPr>
            <w:tcW w:w="3595" w:type="dxa"/>
            <w:gridSpan w:val="4"/>
          </w:tcPr>
          <w:p w:rsidR="00311B8D" w:rsidRDefault="000C37DE" w:rsidP="00760B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37DE">
              <w:rPr>
                <w:rFonts w:ascii="Arial" w:hAnsi="Arial" w:cs="Arial"/>
                <w:b/>
                <w:sz w:val="20"/>
                <w:szCs w:val="20"/>
              </w:rPr>
              <w:t>WithinReach Family Health Hotline</w:t>
            </w:r>
            <w:r w:rsidR="00311B8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0C37DE" w:rsidRPr="00311B8D" w:rsidRDefault="000C37DE" w:rsidP="007869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95" w:type="dxa"/>
            <w:gridSpan w:val="2"/>
          </w:tcPr>
          <w:p w:rsidR="000C37DE" w:rsidRDefault="000C37DE" w:rsidP="00760B9B">
            <w:pPr>
              <w:rPr>
                <w:rStyle w:val="Hyperlink"/>
                <w:rFonts w:ascii="Arial" w:hAnsi="Arial" w:cs="Arial"/>
                <w:sz w:val="20"/>
              </w:rPr>
            </w:pPr>
            <w:r w:rsidRPr="000C37DE">
              <w:rPr>
                <w:rFonts w:ascii="Arial" w:hAnsi="Arial" w:cs="Arial"/>
                <w:b/>
                <w:sz w:val="20"/>
                <w:szCs w:val="20"/>
              </w:rPr>
              <w:t xml:space="preserve">1-800-322-2588, 1-800-833-6388 TTD  </w:t>
            </w:r>
            <w:hyperlink r:id="rId17" w:history="1">
              <w:r w:rsidRPr="000C37DE">
                <w:rPr>
                  <w:rStyle w:val="Hyperlink"/>
                  <w:rFonts w:ascii="Arial" w:hAnsi="Arial" w:cs="Arial"/>
                  <w:sz w:val="20"/>
                  <w:szCs w:val="20"/>
                </w:rPr>
                <w:t>www.parenthelp123.org/</w:t>
              </w:r>
            </w:hyperlink>
          </w:p>
          <w:p w:rsidR="00786958" w:rsidRPr="000C37DE" w:rsidRDefault="00786958" w:rsidP="00760B9B">
            <w:pPr>
              <w:rPr>
                <w:rFonts w:ascii="Arial" w:hAnsi="Arial" w:cs="Arial"/>
                <w:sz w:val="20"/>
                <w:szCs w:val="20"/>
              </w:rPr>
            </w:pPr>
            <w:r w:rsidRPr="00311B8D">
              <w:rPr>
                <w:rFonts w:ascii="Arial" w:hAnsi="Arial" w:cs="Arial"/>
                <w:sz w:val="16"/>
                <w:szCs w:val="16"/>
              </w:rPr>
              <w:t xml:space="preserve">(English/Spanish and </w:t>
            </w:r>
            <w:r>
              <w:rPr>
                <w:rFonts w:ascii="Arial" w:hAnsi="Arial" w:cs="Arial"/>
                <w:sz w:val="16"/>
                <w:szCs w:val="16"/>
              </w:rPr>
              <w:t xml:space="preserve">telephonic </w:t>
            </w:r>
            <w:r w:rsidRPr="00311B8D">
              <w:rPr>
                <w:rFonts w:ascii="Arial" w:hAnsi="Arial" w:cs="Arial"/>
                <w:sz w:val="16"/>
                <w:szCs w:val="16"/>
              </w:rPr>
              <w:t>interpret</w:t>
            </w:r>
            <w:r>
              <w:rPr>
                <w:rFonts w:ascii="Arial" w:hAnsi="Arial" w:cs="Arial"/>
                <w:sz w:val="16"/>
                <w:szCs w:val="16"/>
              </w:rPr>
              <w:t>ation for other languages</w:t>
            </w:r>
            <w:r w:rsidRPr="00311B8D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0C37DE" w:rsidTr="00B10EB9">
        <w:trPr>
          <w:gridAfter w:val="1"/>
          <w:wAfter w:w="10" w:type="dxa"/>
          <w:trHeight w:val="576"/>
        </w:trPr>
        <w:tc>
          <w:tcPr>
            <w:tcW w:w="3595" w:type="dxa"/>
            <w:gridSpan w:val="4"/>
          </w:tcPr>
          <w:p w:rsidR="000C37DE" w:rsidRPr="000C37DE" w:rsidRDefault="000C37DE" w:rsidP="00E55E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37DE">
              <w:rPr>
                <w:rFonts w:ascii="Arial" w:hAnsi="Arial" w:cs="Arial"/>
                <w:b/>
                <w:sz w:val="20"/>
                <w:szCs w:val="20"/>
              </w:rPr>
              <w:t xml:space="preserve">For </w:t>
            </w:r>
            <w:r w:rsidR="00E55EF7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0C37DE">
              <w:rPr>
                <w:rFonts w:ascii="Arial" w:hAnsi="Arial" w:cs="Arial"/>
                <w:b/>
                <w:sz w:val="20"/>
                <w:szCs w:val="20"/>
              </w:rPr>
              <w:t xml:space="preserve">hildren </w:t>
            </w:r>
            <w:r w:rsidR="00E55EF7">
              <w:rPr>
                <w:rFonts w:ascii="Arial" w:hAnsi="Arial" w:cs="Arial"/>
                <w:b/>
                <w:sz w:val="20"/>
                <w:szCs w:val="20"/>
              </w:rPr>
              <w:t xml:space="preserve">Birth - </w:t>
            </w:r>
            <w:r w:rsidRPr="000C37DE"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311B8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195" w:type="dxa"/>
            <w:gridSpan w:val="2"/>
          </w:tcPr>
          <w:p w:rsidR="000C37DE" w:rsidRPr="000C37DE" w:rsidRDefault="00A3555D" w:rsidP="00760B9B">
            <w:pPr>
              <w:rPr>
                <w:rFonts w:ascii="Arial" w:hAnsi="Arial" w:cs="Arial"/>
                <w:sz w:val="20"/>
                <w:szCs w:val="20"/>
              </w:rPr>
            </w:pPr>
            <w:r w:rsidRPr="00A3555D">
              <w:rPr>
                <w:rFonts w:ascii="Arial" w:hAnsi="Arial" w:cs="Arial"/>
                <w:sz w:val="20"/>
                <w:szCs w:val="20"/>
              </w:rPr>
              <w:t>Contact Public Health Nurse Children with Special Health Care Needs Coordinator:  (5)</w:t>
            </w:r>
          </w:p>
        </w:tc>
      </w:tr>
      <w:tr w:rsidR="000C37DE" w:rsidTr="00B10EB9">
        <w:trPr>
          <w:gridAfter w:val="1"/>
          <w:wAfter w:w="10" w:type="dxa"/>
          <w:trHeight w:val="576"/>
        </w:trPr>
        <w:tc>
          <w:tcPr>
            <w:tcW w:w="3595" w:type="dxa"/>
            <w:gridSpan w:val="4"/>
          </w:tcPr>
          <w:p w:rsidR="000C37DE" w:rsidRDefault="00A3555D" w:rsidP="00760B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555D">
              <w:rPr>
                <w:rFonts w:ascii="Arial" w:hAnsi="Arial" w:cs="Arial"/>
                <w:b/>
                <w:sz w:val="20"/>
                <w:szCs w:val="20"/>
              </w:rPr>
              <w:t>For</w:t>
            </w:r>
            <w:r w:rsidR="00E55EF7">
              <w:rPr>
                <w:rFonts w:ascii="Arial" w:hAnsi="Arial" w:cs="Arial"/>
                <w:b/>
                <w:sz w:val="20"/>
                <w:szCs w:val="20"/>
              </w:rPr>
              <w:t xml:space="preserve"> C</w:t>
            </w:r>
            <w:r w:rsidRPr="00A3555D">
              <w:rPr>
                <w:rFonts w:ascii="Arial" w:hAnsi="Arial" w:cs="Arial"/>
                <w:b/>
                <w:sz w:val="20"/>
                <w:szCs w:val="20"/>
              </w:rPr>
              <w:t xml:space="preserve">hildren </w:t>
            </w:r>
            <w:r w:rsidR="00E55EF7">
              <w:rPr>
                <w:rFonts w:ascii="Arial" w:hAnsi="Arial" w:cs="Arial"/>
                <w:b/>
                <w:sz w:val="20"/>
                <w:szCs w:val="20"/>
              </w:rPr>
              <w:t>Under A</w:t>
            </w:r>
            <w:r w:rsidRPr="00A3555D">
              <w:rPr>
                <w:rFonts w:ascii="Arial" w:hAnsi="Arial" w:cs="Arial"/>
                <w:b/>
                <w:sz w:val="20"/>
                <w:szCs w:val="20"/>
              </w:rPr>
              <w:t>ge 3</w:t>
            </w:r>
            <w:r w:rsidR="00311B8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1406B9" w:rsidRPr="00A3555D" w:rsidRDefault="001406B9" w:rsidP="00760B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5" w:type="dxa"/>
            <w:gridSpan w:val="2"/>
          </w:tcPr>
          <w:p w:rsidR="000C37DE" w:rsidRDefault="00A3555D" w:rsidP="00760B9B">
            <w:pPr>
              <w:rPr>
                <w:rFonts w:ascii="Arial" w:hAnsi="Arial" w:cs="Arial"/>
                <w:sz w:val="20"/>
                <w:szCs w:val="20"/>
              </w:rPr>
            </w:pPr>
            <w:r w:rsidRPr="00A3555D">
              <w:rPr>
                <w:rFonts w:ascii="Arial" w:hAnsi="Arial" w:cs="Arial"/>
                <w:sz w:val="20"/>
                <w:szCs w:val="20"/>
              </w:rPr>
              <w:t>Contact County Lead Family Resources Coordinator:  (6)</w:t>
            </w:r>
          </w:p>
          <w:p w:rsidR="001406B9" w:rsidRPr="000C37DE" w:rsidRDefault="001406B9" w:rsidP="00760B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7DE" w:rsidTr="00B10EB9">
        <w:trPr>
          <w:gridAfter w:val="1"/>
          <w:wAfter w:w="10" w:type="dxa"/>
          <w:trHeight w:val="576"/>
        </w:trPr>
        <w:tc>
          <w:tcPr>
            <w:tcW w:w="3595" w:type="dxa"/>
            <w:gridSpan w:val="4"/>
          </w:tcPr>
          <w:p w:rsidR="000C37DE" w:rsidRPr="00A3555D" w:rsidRDefault="00E55EF7" w:rsidP="00E55E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 C</w:t>
            </w:r>
            <w:r w:rsidR="00A3555D" w:rsidRPr="00A3555D">
              <w:rPr>
                <w:rFonts w:ascii="Arial" w:hAnsi="Arial" w:cs="Arial"/>
                <w:b/>
                <w:sz w:val="20"/>
                <w:szCs w:val="20"/>
              </w:rPr>
              <w:t xml:space="preserve">hildren 3 and 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bookmarkStart w:id="0" w:name="_GoBack"/>
            <w:bookmarkEnd w:id="0"/>
            <w:r w:rsidR="00A3555D" w:rsidRPr="00A3555D">
              <w:rPr>
                <w:rFonts w:ascii="Arial" w:hAnsi="Arial" w:cs="Arial"/>
                <w:b/>
                <w:sz w:val="20"/>
                <w:szCs w:val="20"/>
              </w:rPr>
              <w:t>ver</w:t>
            </w:r>
            <w:r w:rsidR="00311B8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195" w:type="dxa"/>
            <w:gridSpan w:val="2"/>
          </w:tcPr>
          <w:p w:rsidR="00311B8D" w:rsidRDefault="00A3555D" w:rsidP="00672E15">
            <w:pPr>
              <w:rPr>
                <w:rFonts w:ascii="Arial" w:hAnsi="Arial" w:cs="Arial"/>
                <w:sz w:val="20"/>
                <w:szCs w:val="20"/>
              </w:rPr>
            </w:pPr>
            <w:r w:rsidRPr="00672E15">
              <w:rPr>
                <w:rFonts w:ascii="Arial" w:hAnsi="Arial" w:cs="Arial"/>
                <w:sz w:val="20"/>
                <w:szCs w:val="20"/>
              </w:rPr>
              <w:t>Contact Local School District</w:t>
            </w:r>
            <w:r w:rsidR="00672E15" w:rsidRPr="00672E15">
              <w:rPr>
                <w:rFonts w:ascii="Arial" w:hAnsi="Arial" w:cs="Arial"/>
                <w:sz w:val="20"/>
                <w:szCs w:val="20"/>
              </w:rPr>
              <w:t>:</w:t>
            </w:r>
            <w:r w:rsidRPr="00672E1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72E15" w:rsidRPr="00672E15">
              <w:rPr>
                <w:rFonts w:ascii="Arial" w:hAnsi="Arial" w:cs="Arial"/>
                <w:sz w:val="20"/>
                <w:szCs w:val="20"/>
              </w:rPr>
              <w:t>7</w:t>
            </w:r>
            <w:r w:rsidRPr="00672E1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11B8D" w:rsidRPr="000C37DE" w:rsidRDefault="00311B8D" w:rsidP="00672E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7DE" w:rsidTr="00B10EB9">
        <w:trPr>
          <w:gridAfter w:val="1"/>
          <w:wAfter w:w="10" w:type="dxa"/>
          <w:trHeight w:val="576"/>
        </w:trPr>
        <w:tc>
          <w:tcPr>
            <w:tcW w:w="3595" w:type="dxa"/>
            <w:gridSpan w:val="4"/>
          </w:tcPr>
          <w:p w:rsidR="000C37DE" w:rsidRDefault="00A3555D" w:rsidP="00760B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555D">
              <w:rPr>
                <w:rFonts w:ascii="Arial" w:hAnsi="Arial" w:cs="Arial"/>
                <w:b/>
                <w:sz w:val="20"/>
                <w:szCs w:val="20"/>
              </w:rPr>
              <w:t>Family Support</w:t>
            </w:r>
            <w:r w:rsidR="00311B8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A3555D" w:rsidRPr="00A3555D" w:rsidRDefault="00A3555D" w:rsidP="00760B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5" w:type="dxa"/>
            <w:gridSpan w:val="2"/>
          </w:tcPr>
          <w:p w:rsidR="000C37DE" w:rsidRDefault="00A3555D" w:rsidP="00760B9B">
            <w:pPr>
              <w:rPr>
                <w:rFonts w:ascii="Arial" w:hAnsi="Arial" w:cs="Arial"/>
                <w:sz w:val="20"/>
                <w:szCs w:val="20"/>
              </w:rPr>
            </w:pPr>
            <w:r w:rsidRPr="00A3555D">
              <w:rPr>
                <w:rFonts w:ascii="Arial" w:hAnsi="Arial" w:cs="Arial"/>
                <w:sz w:val="20"/>
                <w:szCs w:val="20"/>
              </w:rPr>
              <w:t>Contact: (</w:t>
            </w:r>
            <w:r w:rsidR="00672E15">
              <w:rPr>
                <w:rFonts w:ascii="Arial" w:hAnsi="Arial" w:cs="Arial"/>
                <w:sz w:val="20"/>
                <w:szCs w:val="20"/>
              </w:rPr>
              <w:t>8</w:t>
            </w:r>
            <w:r w:rsidRPr="00A3555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3555D" w:rsidRPr="000C37DE" w:rsidRDefault="00A3555D" w:rsidP="00760B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37DE" w:rsidRPr="000D3CA4" w:rsidRDefault="000C37DE" w:rsidP="00760B9B">
      <w:pPr>
        <w:rPr>
          <w:rFonts w:ascii="Arial" w:hAnsi="Arial" w:cs="Arial"/>
          <w:sz w:val="12"/>
          <w:szCs w:val="12"/>
        </w:rPr>
      </w:pPr>
    </w:p>
    <w:sectPr w:rsidR="000C37DE" w:rsidRPr="000D3CA4" w:rsidSect="00E40E2E">
      <w:footerReference w:type="default" r:id="rId18"/>
      <w:type w:val="continuous"/>
      <w:pgSz w:w="12240" w:h="15840"/>
      <w:pgMar w:top="864" w:right="720" w:bottom="576" w:left="72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E0D" w:rsidRDefault="00412E0D">
      <w:r>
        <w:separator/>
      </w:r>
    </w:p>
  </w:endnote>
  <w:endnote w:type="continuationSeparator" w:id="0">
    <w:p w:rsidR="00412E0D" w:rsidRDefault="00412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579" w:rsidRDefault="004A6579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E0D" w:rsidRDefault="00412E0D">
      <w:r>
        <w:separator/>
      </w:r>
    </w:p>
  </w:footnote>
  <w:footnote w:type="continuationSeparator" w:id="0">
    <w:p w:rsidR="00412E0D" w:rsidRDefault="00412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A2EFB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53562"/>
    <w:multiLevelType w:val="hybridMultilevel"/>
    <w:tmpl w:val="3C3085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D2760"/>
    <w:multiLevelType w:val="hybridMultilevel"/>
    <w:tmpl w:val="6FBC1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B3B4A"/>
    <w:multiLevelType w:val="hybridMultilevel"/>
    <w:tmpl w:val="8BD4C9A2"/>
    <w:lvl w:ilvl="0" w:tplc="22207E7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E71F9"/>
    <w:multiLevelType w:val="hybridMultilevel"/>
    <w:tmpl w:val="7CF4153E"/>
    <w:lvl w:ilvl="0" w:tplc="ED1023D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</w:r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299399A"/>
    <w:multiLevelType w:val="hybridMultilevel"/>
    <w:tmpl w:val="2EACF786"/>
    <w:lvl w:ilvl="0" w:tplc="D7380C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855F3"/>
    <w:multiLevelType w:val="hybridMultilevel"/>
    <w:tmpl w:val="1A46451E"/>
    <w:lvl w:ilvl="0" w:tplc="EE8893E8">
      <w:start w:val="1"/>
      <w:numFmt w:val="lowerRoman"/>
      <w:lvlText w:val="%1."/>
      <w:lvlJc w:val="right"/>
      <w:pPr>
        <w:ind w:left="39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7" w15:restartNumberingAfterBreak="0">
    <w:nsid w:val="13AB3C22"/>
    <w:multiLevelType w:val="hybridMultilevel"/>
    <w:tmpl w:val="2350F9A2"/>
    <w:lvl w:ilvl="0" w:tplc="D486BE0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A008D"/>
    <w:multiLevelType w:val="hybridMultilevel"/>
    <w:tmpl w:val="9110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35356"/>
    <w:multiLevelType w:val="hybridMultilevel"/>
    <w:tmpl w:val="B7A23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90D5F"/>
    <w:multiLevelType w:val="singleLevel"/>
    <w:tmpl w:val="AF66821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4F467AD"/>
    <w:multiLevelType w:val="singleLevel"/>
    <w:tmpl w:val="00000000"/>
    <w:lvl w:ilvl="0">
      <w:start w:val="1"/>
      <w:numFmt w:val="bullet"/>
      <w:pStyle w:val="ArrowBold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5056E00"/>
    <w:multiLevelType w:val="hybridMultilevel"/>
    <w:tmpl w:val="AB8495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254429"/>
    <w:multiLevelType w:val="hybridMultilevel"/>
    <w:tmpl w:val="34D654F4"/>
    <w:lvl w:ilvl="0" w:tplc="83246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D638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6C14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BE8A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E47C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2827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2E0B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908C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40FA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9CD472F"/>
    <w:multiLevelType w:val="hybridMultilevel"/>
    <w:tmpl w:val="7F44B8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E52E1"/>
    <w:multiLevelType w:val="hybridMultilevel"/>
    <w:tmpl w:val="9B5E0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61C8A"/>
    <w:multiLevelType w:val="hybridMultilevel"/>
    <w:tmpl w:val="2228B8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6C1F92"/>
    <w:multiLevelType w:val="hybridMultilevel"/>
    <w:tmpl w:val="2BC81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8E2247"/>
    <w:multiLevelType w:val="hybridMultilevel"/>
    <w:tmpl w:val="D4B22F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7351D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261401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A5741BD"/>
    <w:multiLevelType w:val="hybridMultilevel"/>
    <w:tmpl w:val="45705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97F61"/>
    <w:multiLevelType w:val="hybridMultilevel"/>
    <w:tmpl w:val="0CAC78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497454"/>
    <w:multiLevelType w:val="hybridMultilevel"/>
    <w:tmpl w:val="1BC80D9C"/>
    <w:lvl w:ilvl="0" w:tplc="D642440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3781A"/>
    <w:multiLevelType w:val="hybridMultilevel"/>
    <w:tmpl w:val="C390F242"/>
    <w:lvl w:ilvl="0" w:tplc="1EF4E68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1A718E"/>
    <w:multiLevelType w:val="hybridMultilevel"/>
    <w:tmpl w:val="2B5A9948"/>
    <w:lvl w:ilvl="0" w:tplc="D95EA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D6E2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DADE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5E40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56BE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5A2F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ECD1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8A41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8ECC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E2C239C"/>
    <w:multiLevelType w:val="hybridMultilevel"/>
    <w:tmpl w:val="82D825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F0107"/>
    <w:multiLevelType w:val="hybridMultilevel"/>
    <w:tmpl w:val="14927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894B81"/>
    <w:multiLevelType w:val="hybridMultilevel"/>
    <w:tmpl w:val="A29CD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A331D9"/>
    <w:multiLevelType w:val="multilevel"/>
    <w:tmpl w:val="1BC80D9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6A5EE5"/>
    <w:multiLevelType w:val="hybridMultilevel"/>
    <w:tmpl w:val="90D00F10"/>
    <w:lvl w:ilvl="0" w:tplc="2138D472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13B5B"/>
    <w:multiLevelType w:val="multilevel"/>
    <w:tmpl w:val="90D00F10"/>
    <w:lvl w:ilvl="0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50082"/>
    <w:multiLevelType w:val="hybridMultilevel"/>
    <w:tmpl w:val="D896A88E"/>
    <w:lvl w:ilvl="0" w:tplc="44DAD2A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2908BC"/>
    <w:multiLevelType w:val="hybridMultilevel"/>
    <w:tmpl w:val="965244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9B5DA1"/>
    <w:multiLevelType w:val="hybridMultilevel"/>
    <w:tmpl w:val="3A7AE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B15292"/>
    <w:multiLevelType w:val="singleLevel"/>
    <w:tmpl w:val="E6F4D9D6"/>
    <w:lvl w:ilvl="0">
      <w:start w:val="1"/>
      <w:numFmt w:val="bullet"/>
      <w:pStyle w:val="Arrow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75161590"/>
    <w:multiLevelType w:val="hybridMultilevel"/>
    <w:tmpl w:val="B5260C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4A3951"/>
    <w:multiLevelType w:val="hybridMultilevel"/>
    <w:tmpl w:val="70DE72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953A34"/>
    <w:multiLevelType w:val="hybridMultilevel"/>
    <w:tmpl w:val="14927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10"/>
  </w:num>
  <w:num w:numId="3">
    <w:abstractNumId w:val="11"/>
  </w:num>
  <w:num w:numId="4">
    <w:abstractNumId w:val="4"/>
  </w:num>
  <w:num w:numId="5">
    <w:abstractNumId w:val="0"/>
  </w:num>
  <w:num w:numId="6">
    <w:abstractNumId w:val="33"/>
  </w:num>
  <w:num w:numId="7">
    <w:abstractNumId w:val="25"/>
  </w:num>
  <w:num w:numId="8">
    <w:abstractNumId w:val="23"/>
  </w:num>
  <w:num w:numId="9">
    <w:abstractNumId w:val="29"/>
  </w:num>
  <w:num w:numId="10">
    <w:abstractNumId w:val="3"/>
  </w:num>
  <w:num w:numId="11">
    <w:abstractNumId w:val="7"/>
  </w:num>
  <w:num w:numId="12">
    <w:abstractNumId w:val="30"/>
  </w:num>
  <w:num w:numId="13">
    <w:abstractNumId w:val="31"/>
  </w:num>
  <w:num w:numId="14">
    <w:abstractNumId w:val="24"/>
  </w:num>
  <w:num w:numId="15">
    <w:abstractNumId w:val="13"/>
  </w:num>
  <w:num w:numId="16">
    <w:abstractNumId w:val="36"/>
  </w:num>
  <w:num w:numId="17">
    <w:abstractNumId w:val="16"/>
  </w:num>
  <w:num w:numId="18">
    <w:abstractNumId w:val="14"/>
  </w:num>
  <w:num w:numId="19">
    <w:abstractNumId w:val="26"/>
  </w:num>
  <w:num w:numId="20">
    <w:abstractNumId w:val="27"/>
  </w:num>
  <w:num w:numId="21">
    <w:abstractNumId w:val="38"/>
  </w:num>
  <w:num w:numId="22">
    <w:abstractNumId w:val="15"/>
  </w:num>
  <w:num w:numId="23">
    <w:abstractNumId w:val="9"/>
  </w:num>
  <w:num w:numId="24">
    <w:abstractNumId w:val="28"/>
  </w:num>
  <w:num w:numId="25">
    <w:abstractNumId w:val="5"/>
  </w:num>
  <w:num w:numId="26">
    <w:abstractNumId w:val="32"/>
  </w:num>
  <w:num w:numId="27">
    <w:abstractNumId w:val="34"/>
  </w:num>
  <w:num w:numId="28">
    <w:abstractNumId w:val="37"/>
  </w:num>
  <w:num w:numId="29">
    <w:abstractNumId w:val="17"/>
  </w:num>
  <w:num w:numId="30">
    <w:abstractNumId w:val="22"/>
  </w:num>
  <w:num w:numId="31">
    <w:abstractNumId w:val="12"/>
  </w:num>
  <w:num w:numId="32">
    <w:abstractNumId w:val="18"/>
  </w:num>
  <w:num w:numId="33">
    <w:abstractNumId w:val="20"/>
  </w:num>
  <w:num w:numId="34">
    <w:abstractNumId w:val="19"/>
  </w:num>
  <w:num w:numId="35">
    <w:abstractNumId w:val="6"/>
  </w:num>
  <w:num w:numId="36">
    <w:abstractNumId w:val="21"/>
  </w:num>
  <w:num w:numId="37">
    <w:abstractNumId w:val="8"/>
  </w:num>
  <w:num w:numId="38">
    <w:abstractNumId w:val="2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BD"/>
    <w:rsid w:val="0000389F"/>
    <w:rsid w:val="0004202A"/>
    <w:rsid w:val="000A7335"/>
    <w:rsid w:val="000C37DE"/>
    <w:rsid w:val="000C6AC0"/>
    <w:rsid w:val="000D3CA4"/>
    <w:rsid w:val="00110FF1"/>
    <w:rsid w:val="001406B9"/>
    <w:rsid w:val="001545F4"/>
    <w:rsid w:val="00165976"/>
    <w:rsid w:val="00174D7A"/>
    <w:rsid w:val="00182F3C"/>
    <w:rsid w:val="001E4CA9"/>
    <w:rsid w:val="002419A0"/>
    <w:rsid w:val="00284872"/>
    <w:rsid w:val="00311B8D"/>
    <w:rsid w:val="003A4C59"/>
    <w:rsid w:val="003C53B3"/>
    <w:rsid w:val="00412E0D"/>
    <w:rsid w:val="0043595C"/>
    <w:rsid w:val="00456919"/>
    <w:rsid w:val="00461727"/>
    <w:rsid w:val="004655C2"/>
    <w:rsid w:val="004734E7"/>
    <w:rsid w:val="00497737"/>
    <w:rsid w:val="004A6579"/>
    <w:rsid w:val="004E6084"/>
    <w:rsid w:val="004F5CED"/>
    <w:rsid w:val="00550739"/>
    <w:rsid w:val="005840C8"/>
    <w:rsid w:val="005B13F3"/>
    <w:rsid w:val="0063546C"/>
    <w:rsid w:val="00645CEF"/>
    <w:rsid w:val="00672E15"/>
    <w:rsid w:val="006B3634"/>
    <w:rsid w:val="006C5CF1"/>
    <w:rsid w:val="00731863"/>
    <w:rsid w:val="00737419"/>
    <w:rsid w:val="00760B9B"/>
    <w:rsid w:val="00783405"/>
    <w:rsid w:val="00786958"/>
    <w:rsid w:val="007C2499"/>
    <w:rsid w:val="00811AA7"/>
    <w:rsid w:val="008214A5"/>
    <w:rsid w:val="00832F56"/>
    <w:rsid w:val="008410A8"/>
    <w:rsid w:val="008F1951"/>
    <w:rsid w:val="009329AA"/>
    <w:rsid w:val="00936AF1"/>
    <w:rsid w:val="009541C3"/>
    <w:rsid w:val="00964928"/>
    <w:rsid w:val="009D3DFC"/>
    <w:rsid w:val="009D4653"/>
    <w:rsid w:val="009E45E6"/>
    <w:rsid w:val="009F184D"/>
    <w:rsid w:val="009F6F75"/>
    <w:rsid w:val="00A04BF1"/>
    <w:rsid w:val="00A1501E"/>
    <w:rsid w:val="00A3555D"/>
    <w:rsid w:val="00A95400"/>
    <w:rsid w:val="00B10EB9"/>
    <w:rsid w:val="00B434AF"/>
    <w:rsid w:val="00B4699F"/>
    <w:rsid w:val="00B77230"/>
    <w:rsid w:val="00BA4DCA"/>
    <w:rsid w:val="00BD479E"/>
    <w:rsid w:val="00C7320B"/>
    <w:rsid w:val="00C85D2A"/>
    <w:rsid w:val="00CC3204"/>
    <w:rsid w:val="00CD2678"/>
    <w:rsid w:val="00CF0CBD"/>
    <w:rsid w:val="00D83D32"/>
    <w:rsid w:val="00DF502C"/>
    <w:rsid w:val="00E20F9A"/>
    <w:rsid w:val="00E40E2E"/>
    <w:rsid w:val="00E55EF7"/>
    <w:rsid w:val="00F22EB2"/>
    <w:rsid w:val="00F441CE"/>
    <w:rsid w:val="00F523DC"/>
    <w:rsid w:val="00F74F2A"/>
    <w:rsid w:val="00FA2DFF"/>
    <w:rsid w:val="00FB3DFF"/>
    <w:rsid w:val="00FF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38ECF792-6DA2-4105-ADC8-127A582F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40" w:after="120"/>
      <w:outlineLvl w:val="0"/>
    </w:pPr>
    <w:rPr>
      <w:rFonts w:ascii="Helvetica" w:hAnsi="Helvetica"/>
      <w:b/>
      <w:smallCaps/>
      <w:kern w:val="28"/>
      <w:sz w:val="40"/>
    </w:rPr>
  </w:style>
  <w:style w:type="paragraph" w:styleId="Heading2">
    <w:name w:val="heading 2"/>
    <w:basedOn w:val="Normal"/>
    <w:next w:val="Normal"/>
    <w:qFormat/>
    <w:pPr>
      <w:keepNext/>
      <w:spacing w:before="40" w:after="40"/>
      <w:jc w:val="center"/>
      <w:outlineLvl w:val="1"/>
    </w:pPr>
    <w:rPr>
      <w:rFonts w:ascii="Helvetica" w:hAnsi="Helvetica"/>
      <w:b/>
      <w:smallCaps/>
      <w:sz w:val="36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60" w:after="60"/>
      <w:jc w:val="center"/>
      <w:outlineLvl w:val="2"/>
    </w:pPr>
    <w:rPr>
      <w:rFonts w:ascii="Helvetica" w:hAnsi="Helvetica"/>
      <w:b/>
      <w:smallCap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spacing w:after="60"/>
      <w:outlineLvl w:val="4"/>
    </w:pPr>
    <w:rPr>
      <w:rFonts w:ascii="Arial" w:eastAsia="Times New Roman" w:hAnsi="Arial"/>
      <w:b/>
      <w:smallCap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eastAsia="Times New Roman" w:hAnsi="Arial"/>
      <w:b/>
      <w:sz w:val="32"/>
    </w:rPr>
  </w:style>
  <w:style w:type="paragraph" w:styleId="Heading9">
    <w:name w:val="heading 9"/>
    <w:basedOn w:val="Normal"/>
    <w:next w:val="Normal"/>
    <w:qFormat/>
    <w:pPr>
      <w:keepNext/>
      <w:spacing w:after="120"/>
      <w:outlineLvl w:val="8"/>
    </w:pPr>
    <w:rPr>
      <w:rFonts w:ascii="Arial" w:eastAsia="Times New Roman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aliases w:val="Arial 9t Italic"/>
    <w:autoRedefine/>
    <w:semiHidden/>
    <w:rPr>
      <w:rFonts w:ascii="Arial" w:eastAsia="Times New Roman" w:hAnsi="Arial"/>
      <w:i/>
      <w:noProof/>
      <w:color w:val="000000"/>
      <w:sz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lockText">
    <w:name w:val="Block Text"/>
    <w:aliases w:val="Arial 9pt"/>
    <w:basedOn w:val="Normal"/>
    <w:semiHidden/>
    <w:pPr>
      <w:spacing w:before="120" w:after="80"/>
    </w:pPr>
    <w:rPr>
      <w:rFonts w:ascii="Arial" w:eastAsia="Times New Roman" w:hAnsi="Arial"/>
      <w:sz w:val="18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Arrowbullet">
    <w:name w:val="Arrow bullet"/>
    <w:pPr>
      <w:numPr>
        <w:numId w:val="1"/>
      </w:numPr>
      <w:tabs>
        <w:tab w:val="clear" w:pos="360"/>
        <w:tab w:val="num" w:pos="244"/>
      </w:tabs>
      <w:spacing w:after="40"/>
      <w:ind w:left="244" w:hanging="206"/>
    </w:pPr>
    <w:rPr>
      <w:rFonts w:ascii="Times New Roman" w:hAnsi="Times New Roman"/>
      <w:noProof/>
    </w:rPr>
  </w:style>
  <w:style w:type="paragraph" w:customStyle="1" w:styleId="Body">
    <w:name w:val="Body"/>
    <w:pPr>
      <w:spacing w:line="240" w:lineRule="exact"/>
    </w:pPr>
    <w:rPr>
      <w:rFonts w:ascii="Arial" w:hAnsi="Arial"/>
      <w:noProof/>
    </w:rPr>
  </w:style>
  <w:style w:type="paragraph" w:customStyle="1" w:styleId="QuoteArial11pt">
    <w:name w:val="Quote Arial 11pt"/>
    <w:basedOn w:val="BlockText"/>
    <w:pPr>
      <w:spacing w:after="120"/>
      <w:ind w:left="187"/>
    </w:pPr>
    <w:rPr>
      <w:i/>
      <w:sz w:val="22"/>
    </w:rPr>
  </w:style>
  <w:style w:type="paragraph" w:customStyle="1" w:styleId="ArrowBold">
    <w:name w:val="Arrow Bold"/>
    <w:uiPriority w:val="99"/>
    <w:pPr>
      <w:numPr>
        <w:numId w:val="3"/>
      </w:numPr>
      <w:spacing w:after="240"/>
    </w:pPr>
    <w:rPr>
      <w:rFonts w:ascii="Arial" w:hAnsi="Arial"/>
      <w:b/>
      <w:noProof/>
    </w:rPr>
  </w:style>
  <w:style w:type="paragraph" w:customStyle="1" w:styleId="ArialBoldCenter">
    <w:name w:val="Arial Bold Center"/>
    <w:pPr>
      <w:spacing w:after="60"/>
      <w:jc w:val="center"/>
    </w:pPr>
    <w:rPr>
      <w:rFonts w:ascii="Arial" w:hAnsi="Arial"/>
      <w:b/>
      <w:noProof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rFonts w:ascii="Arial" w:hAnsi="Arial" w:cs="Arial"/>
      <w:i/>
      <w:iCs/>
      <w:sz w:val="18"/>
    </w:rPr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styleId="ListBullet">
    <w:name w:val="List Bullet"/>
    <w:basedOn w:val="Normal"/>
    <w:autoRedefine/>
    <w:semiHidden/>
    <w:pPr>
      <w:numPr>
        <w:numId w:val="5"/>
      </w:numPr>
    </w:pPr>
  </w:style>
  <w:style w:type="character" w:styleId="CommentReference">
    <w:name w:val="annotation reference"/>
    <w:uiPriority w:val="99"/>
    <w:semiHidden/>
    <w:unhideWhenUsed/>
    <w:rsid w:val="00737419"/>
    <w:rPr>
      <w:sz w:val="16"/>
      <w:szCs w:val="16"/>
    </w:rPr>
  </w:style>
  <w:style w:type="paragraph" w:customStyle="1" w:styleId="flag">
    <w:name w:val="flag"/>
    <w:basedOn w:val="Arrowbullet"/>
    <w:pPr>
      <w:numPr>
        <w:numId w:val="0"/>
      </w:numPr>
      <w:tabs>
        <w:tab w:val="num" w:pos="247"/>
      </w:tabs>
      <w:ind w:left="247" w:hanging="247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73741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4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419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7374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419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37419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E4C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1E4CA9"/>
    <w:rPr>
      <w:rFonts w:ascii="Courier New" w:eastAsia="Calibri" w:hAnsi="Courier New" w:cs="Courier New"/>
      <w:color w:val="000000"/>
    </w:rPr>
  </w:style>
  <w:style w:type="character" w:customStyle="1" w:styleId="Heading3Char">
    <w:name w:val="Heading 3 Char"/>
    <w:link w:val="Heading3"/>
    <w:rsid w:val="00760B9B"/>
    <w:rPr>
      <w:rFonts w:ascii="Helvetica" w:hAnsi="Helvetica"/>
      <w:b/>
      <w:smallCaps/>
      <w:sz w:val="28"/>
    </w:rPr>
  </w:style>
  <w:style w:type="table" w:styleId="TableGrid">
    <w:name w:val="Table Grid"/>
    <w:basedOn w:val="TableNormal"/>
    <w:uiPriority w:val="39"/>
    <w:rsid w:val="00760B9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4DC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110FF1"/>
    <w:rPr>
      <w:rFonts w:ascii="Times New Roman" w:eastAsia="Times New Roman" w:hAnsi="Times New Roman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10FF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sha.or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achoutandreadwa.org/" TargetMode="External"/><Relationship Id="rId17" Type="http://schemas.openxmlformats.org/officeDocument/2006/relationships/hyperlink" Target="http://www.parenthelp123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bpeds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h.wa.gov/YouandYourFamily/InfantsChildrenandTeens/HealthandSafety/EarlyHearingLoss/DeafHardofHearingServic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ap.org" TargetMode="External"/><Relationship Id="rId10" Type="http://schemas.openxmlformats.org/officeDocument/2006/relationships/hyperlink" Target="http://www.doh.wa.gov/Portals/1/Documents/Pubs/344-040_EHDDIPedAudioSvcs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identifythesign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1A163-BF65-4641-9A99-D00C7BFEA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898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1998</vt:lpstr>
    </vt:vector>
  </TitlesOfParts>
  <Company>CHDD,  UofW</Company>
  <LinksUpToDate>false</LinksUpToDate>
  <CharactersWithSpaces>6674</CharactersWithSpaces>
  <SharedDoc>false</SharedDoc>
  <HLinks>
    <vt:vector size="60" baseType="variant">
      <vt:variant>
        <vt:i4>4522070</vt:i4>
      </vt:variant>
      <vt:variant>
        <vt:i4>30</vt:i4>
      </vt:variant>
      <vt:variant>
        <vt:i4>0</vt:i4>
      </vt:variant>
      <vt:variant>
        <vt:i4>5</vt:i4>
      </vt:variant>
      <vt:variant>
        <vt:lpwstr>http://www.familyvoices.org/</vt:lpwstr>
      </vt:variant>
      <vt:variant>
        <vt:lpwstr/>
      </vt:variant>
      <vt:variant>
        <vt:i4>4718619</vt:i4>
      </vt:variant>
      <vt:variant>
        <vt:i4>27</vt:i4>
      </vt:variant>
      <vt:variant>
        <vt:i4>0</vt:i4>
      </vt:variant>
      <vt:variant>
        <vt:i4>5</vt:i4>
      </vt:variant>
      <vt:variant>
        <vt:lpwstr>http://www.reachoutandreadwa.org/</vt:lpwstr>
      </vt:variant>
      <vt:variant>
        <vt:lpwstr/>
      </vt:variant>
      <vt:variant>
        <vt:i4>2621484</vt:i4>
      </vt:variant>
      <vt:variant>
        <vt:i4>24</vt:i4>
      </vt:variant>
      <vt:variant>
        <vt:i4>0</vt:i4>
      </vt:variant>
      <vt:variant>
        <vt:i4>5</vt:i4>
      </vt:variant>
      <vt:variant>
        <vt:lpwstr>http://www.dbpeds.org/</vt:lpwstr>
      </vt:variant>
      <vt:variant>
        <vt:lpwstr/>
      </vt:variant>
      <vt:variant>
        <vt:i4>3276909</vt:i4>
      </vt:variant>
      <vt:variant>
        <vt:i4>21</vt:i4>
      </vt:variant>
      <vt:variant>
        <vt:i4>0</vt:i4>
      </vt:variant>
      <vt:variant>
        <vt:i4>5</vt:i4>
      </vt:variant>
      <vt:variant>
        <vt:lpwstr>http://www.aap.org/</vt:lpwstr>
      </vt:variant>
      <vt:variant>
        <vt:lpwstr/>
      </vt:variant>
      <vt:variant>
        <vt:i4>5242900</vt:i4>
      </vt:variant>
      <vt:variant>
        <vt:i4>18</vt:i4>
      </vt:variant>
      <vt:variant>
        <vt:i4>0</vt:i4>
      </vt:variant>
      <vt:variant>
        <vt:i4>5</vt:i4>
      </vt:variant>
      <vt:variant>
        <vt:lpwstr>http://identifythesigns.org/</vt:lpwstr>
      </vt:variant>
      <vt:variant>
        <vt:lpwstr/>
      </vt:variant>
      <vt:variant>
        <vt:i4>5308490</vt:i4>
      </vt:variant>
      <vt:variant>
        <vt:i4>15</vt:i4>
      </vt:variant>
      <vt:variant>
        <vt:i4>0</vt:i4>
      </vt:variant>
      <vt:variant>
        <vt:i4>5</vt:i4>
      </vt:variant>
      <vt:variant>
        <vt:lpwstr>http://www.asha.org/</vt:lpwstr>
      </vt:variant>
      <vt:variant>
        <vt:lpwstr/>
      </vt:variant>
      <vt:variant>
        <vt:i4>4784219</vt:i4>
      </vt:variant>
      <vt:variant>
        <vt:i4>12</vt:i4>
      </vt:variant>
      <vt:variant>
        <vt:i4>0</vt:i4>
      </vt:variant>
      <vt:variant>
        <vt:i4>5</vt:i4>
      </vt:variant>
      <vt:variant>
        <vt:lpwstr>http://www.parenthelp123.org/</vt:lpwstr>
      </vt:variant>
      <vt:variant>
        <vt:lpwstr/>
      </vt:variant>
      <vt:variant>
        <vt:i4>2752613</vt:i4>
      </vt:variant>
      <vt:variant>
        <vt:i4>9</vt:i4>
      </vt:variant>
      <vt:variant>
        <vt:i4>0</vt:i4>
      </vt:variant>
      <vt:variant>
        <vt:i4>5</vt:i4>
      </vt:variant>
      <vt:variant>
        <vt:lpwstr>http://www.arcwa.org/parent_to_parent.htm</vt:lpwstr>
      </vt:variant>
      <vt:variant>
        <vt:lpwstr/>
      </vt:variant>
      <vt:variant>
        <vt:i4>3866686</vt:i4>
      </vt:variant>
      <vt:variant>
        <vt:i4>6</vt:i4>
      </vt:variant>
      <vt:variant>
        <vt:i4>0</vt:i4>
      </vt:variant>
      <vt:variant>
        <vt:i4>5</vt:i4>
      </vt:variant>
      <vt:variant>
        <vt:lpwstr>https://www.del.wa.gov/providers-educators/early-support-infants-and-toddlers-esit</vt:lpwstr>
      </vt:variant>
      <vt:variant>
        <vt:lpwstr/>
      </vt:variant>
      <vt:variant>
        <vt:i4>524358</vt:i4>
      </vt:variant>
      <vt:variant>
        <vt:i4>3</vt:i4>
      </vt:variant>
      <vt:variant>
        <vt:i4>0</vt:i4>
      </vt:variant>
      <vt:variant>
        <vt:i4>5</vt:i4>
      </vt:variant>
      <vt:variant>
        <vt:lpwstr>http://www.doh.wa.gov/YouandYourFamily/InfantsChildrenandTeens/HealthandSafety/EarlyHearingLoss/DeafHardofHearingServices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1998</dc:title>
  <dc:subject/>
  <dc:creator>Greg Owen</dc:creator>
  <cp:keywords/>
  <cp:lastModifiedBy>Kate Orville</cp:lastModifiedBy>
  <cp:revision>5</cp:revision>
  <cp:lastPrinted>2016-10-03T16:36:00Z</cp:lastPrinted>
  <dcterms:created xsi:type="dcterms:W3CDTF">2016-10-02T21:02:00Z</dcterms:created>
  <dcterms:modified xsi:type="dcterms:W3CDTF">2016-10-03T17:02:00Z</dcterms:modified>
</cp:coreProperties>
</file>